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spacing w:before="0" w:after="240" w:line="276" w:lineRule="auto"/>
        <w:jc w:val="right"/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Allegato</w:t>
      </w:r>
    </w:p>
    <w:p>
      <w:pPr>
        <w:spacing w:before="0" w:after="60" w:line="276" w:lineRule="auto"/>
        <w:jc w:val="center"/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AZIENDE BULGARE IN CERCA DI PARTNER IN ITALIA</w:t>
      </w:r>
    </w:p>
    <w:p>
      <w:pPr>
        <w:spacing w:before="0" w:after="360" w:line="276" w:lineRule="auto"/>
        <w:jc w:val="center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Elenco delle aziende che si sono rivolte all'Ufficio Affari Commerciali ed Economici dell'Ambasciata della Repubblica di Bulgaria in Italia</w:t>
      </w:r>
    </w:p>
    <w:p>
      <w:pPr>
        <w:spacing w:before="0" w:after="160" w:line="276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Il presente elenco riporta, suddivise per settore, le aziende bulgare che hanno manifestato all'Ufficio Affari Commerciali ed Economici dell'Ambasciata l'interesse a individuare in Italia partner commerciali, distributori, clienti o investitori.</w:t>
      </w:r>
    </w:p>
    <w:p>
      <w:pPr>
        <w:spacing w:before="0" w:after="160" w:line="276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Le informazioni indicate hanno carattere generale e sono tratte da quanto comunicato dalle aziende stesse e da fonti pubblicamente accessibili. Le imprese associate a Confindustria Salerno interessate a entrare in contatto con una o più delle aziende elencate possono rivolgersi all'Ufficio, che provvederà a metterle in comunicazione con le controparti bulgare.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1900"/>
        <w:gridCol w:w="2900"/>
        <w:gridCol w:w="2520"/>
        <w:gridCol w:w="2040"/>
      </w:tblGrid>
      <w:tr>
        <w:trPr>
          <w:cantSplit/>
          <w:tblHeader/>
        </w:trPr>
        <w:tc>
          <w:tcPr>
            <w:tcW w:w="1900" w:type="dxa"/>
          </w:tcPr>
          <w:p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Azienda e sede</w:t>
            </w:r>
          </w:p>
        </w:tc>
        <w:tc>
          <w:tcPr>
            <w:tcW w:w="2900" w:type="dxa"/>
          </w:tcPr>
          <w:p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Attività e prodotti</w:t>
            </w:r>
          </w:p>
        </w:tc>
        <w:tc>
          <w:tcPr>
            <w:tcW w:w="2520" w:type="dxa"/>
          </w:tcPr>
          <w:p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Partner ricercati in Italia</w:t>
            </w:r>
          </w:p>
        </w:tc>
        <w:tc>
          <w:tcPr>
            <w:tcW w:w="2040" w:type="dxa"/>
          </w:tcPr>
          <w:p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Sito web</w:t>
            </w:r>
          </w:p>
        </w:tc>
      </w:tr>
      <w:tr>
        <w:trPr>
          <w:cantSplit/>
        </w:trPr>
        <w:tc>
          <w:tcPr>
            <w:tcW w:w="9360" w:type="dxa"/>
            <w:gridSpan w:val="4"/>
          </w:tcPr>
          <w:p>
            <w:pPr>
              <w:keepNext/>
              <w:spacing w:before="60" w:after="60" w:line="240" w:lineRule="auto"/>
              <w:jc w:val="left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AGROALIMENTARE</w:t>
            </w:r>
          </w:p>
        </w:tc>
      </w:tr>
      <w:tr>
        <w:trPr>
          <w:cantSplit/>
        </w:trPr>
        <w:tc>
          <w:tcPr>
            <w:tcW w:w="190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HotFarm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Bulgaria</w:t>
            </w:r>
          </w:p>
        </w:tc>
        <w:tc>
          <w:tcPr>
            <w:tcW w:w="290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Azienda agricola a ciclo chiuso specializzata nel peperoncino: salse piccanti, confetture, paste, spezie e specialità sottaceto (segmento premium/gourmet), marchio UE registrato</w:t>
            </w:r>
          </w:p>
        </w:tc>
        <w:tc>
          <w:tcPr>
            <w:tcW w:w="252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Importatori e distributori di prodotti gourmet e delicatessen, catene e negozi specializzati</w:t>
            </w:r>
          </w:p>
        </w:tc>
        <w:tc>
          <w:tcPr>
            <w:tcW w:w="204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www.hotfarm.eu</w:t>
            </w:r>
          </w:p>
        </w:tc>
      </w:tr>
      <w:tr>
        <w:trPr>
          <w:cantSplit/>
        </w:trPr>
        <w:tc>
          <w:tcPr>
            <w:tcW w:w="190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Yankov Brothers Freezing OOD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Bulgaria</w:t>
            </w:r>
          </w:p>
        </w:tc>
        <w:tc>
          <w:tcPr>
            <w:tcW w:w="290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Surgelazione di albicocche e pesche bulgare; attualmente disponibile a magazzino un consistente quantitativo di pesca a cubetti 10x10 mm</w:t>
            </w:r>
          </w:p>
        </w:tc>
        <w:tc>
          <w:tcPr>
            <w:tcW w:w="252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Industria di trasformazione (produttori di confetture, succhi, preparazioni di frutta, gelati, insalate pronte, prodotti lattiero-caseari alla frutta e altri prodotti a base di pesca), aziende commerciali e fornitori del canale HoReCa</w:t>
            </w:r>
          </w:p>
        </w:tc>
        <w:tc>
          <w:tcPr>
            <w:tcW w:w="204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—</w:t>
            </w:r>
          </w:p>
        </w:tc>
      </w:tr>
      <w:tr>
        <w:trPr>
          <w:cantSplit/>
        </w:trPr>
        <w:tc>
          <w:tcPr>
            <w:tcW w:w="190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MTK Ko Ltd – marchio MILVA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Bulgaria</w:t>
            </w:r>
          </w:p>
        </w:tc>
        <w:tc>
          <w:tcPr>
            <w:tcW w:w="290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Prodotti lattiero-caseari: kefir da bere in bottiglie da 500 g (classico, lampone, frutto della passione) e barrette dessert di quark glassate da 40 g in sei gusti</w:t>
            </w:r>
          </w:p>
        </w:tc>
        <w:tc>
          <w:tcPr>
            <w:tcW w:w="252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Importatori e distributori di prodotti lattiero-caseari, catene della GDO e negozi specializzati</w:t>
            </w:r>
          </w:p>
        </w:tc>
        <w:tc>
          <w:tcPr>
            <w:tcW w:w="204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—</w:t>
            </w:r>
          </w:p>
        </w:tc>
      </w:tr>
      <w:tr>
        <w:trPr>
          <w:cantSplit/>
        </w:trPr>
        <w:tc>
          <w:tcPr>
            <w:tcW w:w="190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Stefanika-Olives OOD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Blagoevgrad</w:t>
            </w:r>
          </w:p>
        </w:tc>
        <w:tc>
          <w:tcPr>
            <w:tcW w:w="290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Importazione, confezionamento e distribuzione di olive da tavola e olio d'oliva di origine greca (marchio proprio Olives Calypso), anche in formati per la ristorazione (latte da 2,5 e 13 kg) e olio sfuso su richiesta; condizioni commerciali competitive</w:t>
            </w:r>
          </w:p>
        </w:tc>
        <w:tc>
          <w:tcPr>
            <w:tcW w:w="252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Importatori di prodotti alimentari, distributori per la GDO e l'HoReCa, grossisti e catene di negozi</w:t>
            </w:r>
          </w:p>
        </w:tc>
        <w:tc>
          <w:tcPr>
            <w:tcW w:w="204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—</w:t>
            </w:r>
          </w:p>
        </w:tc>
      </w:tr>
      <w:tr>
        <w:trPr>
          <w:cantSplit/>
        </w:trPr>
        <w:tc>
          <w:tcPr>
            <w:tcW w:w="9360" w:type="dxa"/>
            <w:gridSpan w:val="4"/>
          </w:tcPr>
          <w:p>
            <w:pPr>
              <w:keepNext/>
              <w:spacing w:before="60" w:after="60" w:line="240" w:lineRule="auto"/>
              <w:jc w:val="left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COSMETICA E PRODOTTI ERBORISTICI</w:t>
            </w:r>
          </w:p>
        </w:tc>
      </w:tr>
      <w:tr>
        <w:trPr>
          <w:cantSplit/>
        </w:trPr>
        <w:tc>
          <w:tcPr>
            <w:tcW w:w="190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Biotrade Cosmeceuticals Ltd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Sofia</w:t>
            </w:r>
          </w:p>
        </w:tc>
        <w:tc>
          <w:tcPr>
            <w:tcW w:w="290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Dermocosmesi bulgara, con oltre 30 anni di attività e presenza in più di 20 mercati esteri</w:t>
            </w:r>
          </w:p>
        </w:tc>
        <w:tc>
          <w:tcPr>
            <w:tcW w:w="252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Distributore specializzato di piccole o medie dimensioni per tutto il territorio italiano, con forte presenza nel canale farmacia, rapporti con i dermatologi e propria rete vendite e marketing</w:t>
            </w:r>
          </w:p>
        </w:tc>
        <w:tc>
          <w:tcPr>
            <w:tcW w:w="204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www.biotrade.bg</w:t>
            </w:r>
          </w:p>
        </w:tc>
      </w:tr>
      <w:tr>
        <w:trPr>
          <w:cantSplit/>
        </w:trPr>
        <w:tc>
          <w:tcPr>
            <w:tcW w:w="190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SHIMANI Smart Skincare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Sofia</w:t>
            </w:r>
          </w:p>
        </w:tc>
        <w:tc>
          <w:tcPr>
            <w:tcW w:w="290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Dermocosmesi bulgara: linea anti-età con collagene e peptidi, prodotti per pelli a tendenza acneica, balsami a base di erbe officinali bulgare, candele profumate in cera vegetale; formulazioni senza parabeni e petrolati, cruelty-free</w:t>
            </w:r>
          </w:p>
        </w:tc>
        <w:tc>
          <w:tcPr>
            <w:tcW w:w="252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Distributori e importatori di prodotti cosmetici</w:t>
            </w:r>
          </w:p>
        </w:tc>
        <w:tc>
          <w:tcPr>
            <w:tcW w:w="204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www.shimani.bg</w:t>
            </w:r>
          </w:p>
        </w:tc>
      </w:tr>
      <w:tr>
        <w:trPr>
          <w:cantSplit/>
        </w:trPr>
        <w:tc>
          <w:tcPr>
            <w:tcW w:w="190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Health Again EOOD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Sofia</w:t>
            </w:r>
          </w:p>
        </w:tc>
        <w:tc>
          <w:tcPr>
            <w:tcW w:w="290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Erbe officinali essiccate (menta, melissa, camomilla, timo e altre), tinture e unguenti a base di erbe; oltre 15 anni di attività</w:t>
            </w:r>
          </w:p>
        </w:tc>
        <w:tc>
          <w:tcPr>
            <w:tcW w:w="252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Distributori e importatori di prodotti erboristici, erboristerie e partner commerciali</w:t>
            </w:r>
          </w:p>
        </w:tc>
        <w:tc>
          <w:tcPr>
            <w:tcW w:w="204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www.badizdrav.eu</w:t>
            </w:r>
          </w:p>
        </w:tc>
      </w:tr>
      <w:tr>
        <w:trPr>
          <w:cantSplit/>
        </w:trPr>
        <w:tc>
          <w:tcPr>
            <w:tcW w:w="9360" w:type="dxa"/>
            <w:gridSpan w:val="4"/>
          </w:tcPr>
          <w:p>
            <w:pPr>
              <w:keepNext/>
              <w:spacing w:before="60" w:after="60" w:line="240" w:lineRule="auto"/>
              <w:jc w:val="left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IMBALLAGGI E STAMPA</w:t>
            </w:r>
          </w:p>
        </w:tc>
      </w:tr>
      <w:tr>
        <w:trPr>
          <w:cantSplit/>
        </w:trPr>
        <w:tc>
          <w:tcPr>
            <w:tcW w:w="190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Right Pack EOOD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Asenovgrad (Plovdiv)</w:t>
            </w:r>
          </w:p>
        </w:tc>
        <w:tc>
          <w:tcPr>
            <w:tcW w:w="290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Tipografia specializzata nella produzione di imballaggi: astucci e scatole in cartoncino stampati in offset, imballaggi flessibili (buste, bustine, box pouch fino a 20 kg, bag-in-box), packaging di lusso con nobilitazioni speciali e soluzioni ecosostenibili in carta riciclata; ciclo produttivo completo, dalla progettazione alla consegna</w:t>
            </w:r>
          </w:p>
        </w:tc>
        <w:tc>
          <w:tcPr>
            <w:tcW w:w="252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Aziende dei settori alimentare, cosmetico, profumiero e farmaceutico che utilizzano imballaggi in cartoncino o flessibili; brand interessati a packaging premium o sostenibile; agenti e distributori del settore</w:t>
            </w:r>
          </w:p>
        </w:tc>
        <w:tc>
          <w:tcPr>
            <w:tcW w:w="204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rightpack.eu</w:t>
            </w:r>
          </w:p>
        </w:tc>
      </w:tr>
      <w:tr>
        <w:trPr>
          <w:cantSplit/>
        </w:trPr>
        <w:tc>
          <w:tcPr>
            <w:tcW w:w="9360" w:type="dxa"/>
            <w:gridSpan w:val="4"/>
          </w:tcPr>
          <w:p>
            <w:pPr>
              <w:keepNext/>
              <w:spacing w:before="60" w:after="60" w:line="240" w:lineRule="auto"/>
              <w:jc w:val="left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PROFUMAZIONE D'AMBIENTE / SCENT MARKETING</w:t>
            </w:r>
          </w:p>
        </w:tc>
      </w:tr>
      <w:tr>
        <w:trPr>
          <w:cantSplit/>
        </w:trPr>
        <w:tc>
          <w:tcPr>
            <w:tcW w:w="190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Solo EOOD (Solo Air)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Shumen</w:t>
            </w:r>
          </w:p>
        </w:tc>
        <w:tc>
          <w:tcPr>
            <w:tcW w:w="290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Produzione di sistemi e diffusori automatici di profumazione, deodoranti per ambienti, spray per interni, candele di soia, diffusori a bastoncini e oli, sacchetti profumati, profumatori per auto; soluzioni personalizzate di scent marketing; produzione anche in private label</w:t>
            </w:r>
          </w:p>
        </w:tc>
        <w:tc>
          <w:tcPr>
            <w:tcW w:w="252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Distributori, agenti di commercio, catene di articoli per la casa, aziende interessate alla private label o allo scent marketing (retail, hotellerie, uffici)</w:t>
            </w:r>
          </w:p>
        </w:tc>
        <w:tc>
          <w:tcPr>
            <w:tcW w:w="204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www.solo-air.com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www.rivahome.bg</w:t>
            </w:r>
          </w:p>
        </w:tc>
      </w:tr>
      <w:tr>
        <w:trPr>
          <w:cantSplit/>
        </w:trPr>
        <w:tc>
          <w:tcPr>
            <w:tcW w:w="9360" w:type="dxa"/>
            <w:gridSpan w:val="4"/>
          </w:tcPr>
          <w:p>
            <w:pPr>
              <w:keepNext/>
              <w:spacing w:before="60" w:after="60" w:line="240" w:lineRule="auto"/>
              <w:jc w:val="left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VETERINARIA / PRODOTTI PER ANIMALI</w:t>
            </w:r>
          </w:p>
        </w:tc>
      </w:tr>
      <w:tr>
        <w:trPr>
          <w:cantSplit/>
        </w:trPr>
        <w:tc>
          <w:tcPr>
            <w:tcW w:w="190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Nature Pet OOD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Plovdiv</w:t>
            </w:r>
          </w:p>
        </w:tc>
        <w:tc>
          <w:tcPr>
            <w:tcW w:w="290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Produzione in serie di ausili ortopedici in neoprene per cani: tutori per carpo e gomito, cavigliere riabilitative con pesi, imbracature di sostegno e trasporto</w:t>
            </w:r>
          </w:p>
        </w:tc>
        <w:tc>
          <w:tcPr>
            <w:tcW w:w="252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Cliniche e ambulatori veterinari, farmacie veterinarie, catene di prodotti per animali, distributori del settore</w:t>
            </w:r>
          </w:p>
        </w:tc>
        <w:tc>
          <w:tcPr>
            <w:tcW w:w="204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www.carpolock.bg</w:t>
            </w:r>
          </w:p>
        </w:tc>
      </w:tr>
      <w:tr>
        <w:trPr>
          <w:cantSplit/>
        </w:trPr>
        <w:tc>
          <w:tcPr>
            <w:tcW w:w="9360" w:type="dxa"/>
            <w:gridSpan w:val="4"/>
          </w:tcPr>
          <w:p>
            <w:pPr>
              <w:keepNext/>
              <w:spacing w:before="60" w:after="60" w:line="240" w:lineRule="auto"/>
              <w:jc w:val="left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INFORMATICA E SOFTWARE</w:t>
            </w:r>
          </w:p>
        </w:tc>
      </w:tr>
      <w:tr>
        <w:trPr>
          <w:cantSplit/>
        </w:trPr>
        <w:tc>
          <w:tcPr>
            <w:tcW w:w="190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HighSkyAI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Sofia</w:t>
            </w:r>
          </w:p>
        </w:tc>
        <w:tc>
          <w:tcPr>
            <w:tcW w:w="290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Soluzioni di intelligenza artificiale per l'e-commerce: assistenti di vendita conversazionali (chat e voce), ricerca intelligente nel catalogo, sistemi di raccomandazione, automazione dei processi interni (ordini, fatturazione, contabilità)</w:t>
            </w:r>
          </w:p>
        </w:tc>
        <w:tc>
          <w:tcPr>
            <w:tcW w:w="252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Operatori dell'e-commerce e retailer online; piattaforme e-commerce e agenzie IT interessate a una partnership</w:t>
            </w:r>
          </w:p>
        </w:tc>
        <w:tc>
          <w:tcPr>
            <w:tcW w:w="204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www.highsky.ai</w:t>
            </w:r>
          </w:p>
        </w:tc>
      </w:tr>
      <w:tr>
        <w:trPr>
          <w:cantSplit/>
        </w:trPr>
        <w:tc>
          <w:tcPr>
            <w:tcW w:w="190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Vanguard Software Group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Plovdiv</w:t>
            </w:r>
          </w:p>
        </w:tc>
        <w:tc>
          <w:tcPr>
            <w:tcW w:w="290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Sviluppo software su misura per il settore finanziario (tra cui una piattaforma di loan origination), con oltre 20 anni di esperienza sul mercato statunitense e circa 90 addetti; piattaforma HR A-char</w:t>
            </w:r>
          </w:p>
        </w:tc>
        <w:tc>
          <w:tcPr>
            <w:tcW w:w="252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Banche e istituti finanziari, aziende interessate a sviluppo software su commessa e staff augmentation; clienti e partner per la piattaforma A-char</w:t>
            </w:r>
          </w:p>
        </w:tc>
        <w:tc>
          <w:tcPr>
            <w:tcW w:w="204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—</w:t>
            </w:r>
          </w:p>
        </w:tc>
      </w:tr>
      <w:tr>
        <w:trPr>
          <w:cantSplit/>
        </w:trPr>
        <w:tc>
          <w:tcPr>
            <w:tcW w:w="190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Rabbit Solutions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Bulgaria</w:t>
            </w:r>
          </w:p>
        </w:tc>
        <w:tc>
          <w:tcPr>
            <w:tcW w:w="290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Piattaforma RegTech: onboarding digitale, KYC/KYB, screening AML/CFT, monitoraggio delle transazioni, valutazione del rischio cliente, prevenzione delle frodi e automazione della compliance; certificazioni ISO 27001 e ISO 9001</w:t>
            </w:r>
          </w:p>
        </w:tc>
        <w:tc>
          <w:tcPr>
            <w:tcW w:w="252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Banche, istituti di pagamento e di moneta elettronica, fintech, compagnie assicurative, intermediari finanziari non bancari, prestatori di servizi per le cripto-attività, operatori del gioco online</w:t>
            </w:r>
          </w:p>
        </w:tc>
        <w:tc>
          <w:tcPr>
            <w:tcW w:w="204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—</w:t>
            </w:r>
          </w:p>
        </w:tc>
      </w:tr>
      <w:tr>
        <w:trPr>
          <w:cantSplit/>
        </w:trPr>
        <w:tc>
          <w:tcPr>
            <w:tcW w:w="190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RixMind</w:t>
            </w:r>
          </w:p>
        </w:tc>
        <w:tc>
          <w:tcPr>
            <w:tcW w:w="290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Servizi di IT Asset Management (ITAM), Software Asset Management (SAM), IT Service Management (ITSM), FinOps e soluzioni di intelligenza artificiale</w:t>
            </w:r>
          </w:p>
        </w:tc>
        <w:tc>
          <w:tcPr>
            <w:tcW w:w="252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Medie e grandi imprese con infrastrutture IT complesse; partner per l'accesso al mercato italiano</w:t>
            </w:r>
          </w:p>
        </w:tc>
        <w:tc>
          <w:tcPr>
            <w:tcW w:w="204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—</w:t>
            </w:r>
          </w:p>
        </w:tc>
      </w:tr>
      <w:tr>
        <w:trPr>
          <w:cantSplit/>
        </w:trPr>
        <w:tc>
          <w:tcPr>
            <w:tcW w:w="9360" w:type="dxa"/>
            <w:gridSpan w:val="4"/>
          </w:tcPr>
          <w:p>
            <w:pPr>
              <w:keepNext/>
              <w:spacing w:before="60" w:after="60" w:line="240" w:lineRule="auto"/>
              <w:jc w:val="left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SERVIZI CREATIVI / CGI E VISUALIZZAZIONE 3D</w:t>
            </w:r>
          </w:p>
        </w:tc>
      </w:tr>
      <w:tr>
        <w:trPr>
          <w:cantSplit/>
        </w:trPr>
        <w:tc>
          <w:tcPr>
            <w:tcW w:w="190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Recom Blacksmith OOD (Recom Group)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Sofia</w:t>
            </w:r>
          </w:p>
        </w:tc>
        <w:tc>
          <w:tcPr>
            <w:tcW w:w="290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Visualizzazione fotorealistica in CGI, animazione e post-produzione per pubblicità e cinema; configuratori di prodotto interattivi 3D; asset digitali per automotive, moda, arredo e interni, gioielleria e prodotti di consumo</w:t>
            </w:r>
          </w:p>
        </w:tc>
        <w:tc>
          <w:tcPr>
            <w:tcW w:w="252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Brand e produttori dei settori automotive, moda, arredo/design e gioielleria; agenzie pubblicitarie e case di produzione</w:t>
            </w:r>
          </w:p>
        </w:tc>
        <w:tc>
          <w:tcPr>
            <w:tcW w:w="204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recomblacksmith.com</w:t>
            </w:r>
          </w:p>
        </w:tc>
      </w:tr>
      <w:tr>
        <w:trPr>
          <w:cantSplit/>
        </w:trPr>
        <w:tc>
          <w:tcPr>
            <w:tcW w:w="9360" w:type="dxa"/>
            <w:gridSpan w:val="4"/>
          </w:tcPr>
          <w:p>
            <w:pPr>
              <w:keepNext/>
              <w:spacing w:before="60" w:after="60" w:line="240" w:lineRule="auto"/>
              <w:jc w:val="left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ELETTRONICA PER LA DIFESA E LA SICUREZZA</w:t>
            </w:r>
          </w:p>
        </w:tc>
      </w:tr>
      <w:tr>
        <w:trPr>
          <w:cantSplit/>
        </w:trPr>
        <w:tc>
          <w:tcPr>
            <w:tcW w:w="190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Miltech EOOD ed Electron Progress EAD (gruppo)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Sofia</w:t>
            </w:r>
          </w:p>
        </w:tc>
        <w:tc>
          <w:tcPr>
            <w:tcW w:w="290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Progettazione e integrazione di sistemi di comunicazione e informazione, integrazione di apparati radio tattici, elettronica ruggedizzata e software C2 su veicoli, navi e shelter; manutenzione (MRO), formazione e supporto al ciclo di vita; certificazioni ISO 9001, ISO 27001, AQAP 2110 e nulla osta di sicurezza nazionale e NATO</w:t>
            </w:r>
          </w:p>
        </w:tc>
        <w:tc>
          <w:tcPr>
            <w:tcW w:w="252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Imprese dei settori difesa, aerospazio e sicurezza per collaborazioni industriali, subfornitura e programmi di partecipazione industriale (offset)</w:t>
            </w:r>
          </w:p>
        </w:tc>
        <w:tc>
          <w:tcPr>
            <w:tcW w:w="204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www.miltech-bg.com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www.eprogress.bg</w:t>
            </w:r>
          </w:p>
        </w:tc>
      </w:tr>
      <w:tr>
        <w:trPr>
          <w:cantSplit/>
        </w:trPr>
        <w:tc>
          <w:tcPr>
            <w:tcW w:w="9360" w:type="dxa"/>
            <w:gridSpan w:val="4"/>
          </w:tcPr>
          <w:p>
            <w:pPr>
              <w:keepNext/>
              <w:spacing w:before="60" w:after="60" w:line="240" w:lineRule="auto"/>
              <w:jc w:val="left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AMBIENTE ED ENERGIA</w:t>
            </w:r>
          </w:p>
        </w:tc>
      </w:tr>
      <w:tr>
        <w:trPr>
          <w:cantSplit/>
        </w:trPr>
        <w:tc>
          <w:tcPr>
            <w:tcW w:w="190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Eco-Rai-Systems EOOD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Varna</w:t>
            </w:r>
          </w:p>
        </w:tc>
        <w:tc>
          <w:tcPr>
            <w:tcW w:w="290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Progetto di impianti per il trattamento termico dei fanghi di depurazione con recupero energetico, basati su una tecnologia brevettata (INEVA)</w:t>
            </w:r>
          </w:p>
        </w:tc>
        <w:tc>
          <w:tcPr>
            <w:tcW w:w="252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Investitori e partner industriali nel settore del trattamento dei fanghi e del recupero energetico</w:t>
            </w:r>
          </w:p>
        </w:tc>
        <w:tc>
          <w:tcPr>
            <w:tcW w:w="2040" w:type="dxa"/>
          </w:tcPr>
          <w:p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—</w:t>
            </w:r>
          </w:p>
        </w:tc>
      </w:tr>
    </w:tbl>
    <w:p>
      <w:pPr>
        <w:spacing w:before="240" w:after="160" w:line="276" w:lineRule="auto"/>
        <w:jc w:val="left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Roma, ottobre 2026</w:t>
      </w:r>
    </w:p>
    <w:sectPr w:rsidR="00044123" w:rsidRPr="00A97238" w:rsidSect="003741EB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601B" w:rsidRDefault="0081601B" w:rsidP="003741EB">
      <w:pPr>
        <w:spacing w:after="0" w:line="240" w:lineRule="auto"/>
      </w:pPr>
      <w:r>
        <w:separator/>
      </w:r>
    </w:p>
  </w:endnote>
  <w:endnote w:type="continuationSeparator" w:id="0">
    <w:p w:rsidR="0081601B" w:rsidRDefault="0081601B" w:rsidP="003741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41EB" w:rsidRPr="003741EB" w:rsidRDefault="003741EB" w:rsidP="00CC37E3">
    <w:pPr>
      <w:pStyle w:val="Footer"/>
      <w:jc w:val="center"/>
    </w:pPr>
    <w:r>
      <w:rPr>
        <w:lang w:val="bg-BG"/>
      </w:rPr>
      <w:t xml:space="preserve">00197 </w:t>
    </w:r>
    <w:r w:rsidR="00CC37E3">
      <w:t>Roma – Via Pietro Paolo Rubens, 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601B" w:rsidRDefault="0081601B" w:rsidP="003741EB">
      <w:pPr>
        <w:spacing w:after="0" w:line="240" w:lineRule="auto"/>
      </w:pPr>
      <w:r>
        <w:separator/>
      </w:r>
    </w:p>
  </w:footnote>
  <w:footnote w:type="continuationSeparator" w:id="0">
    <w:p w:rsidR="0081601B" w:rsidRDefault="0081601B" w:rsidP="003741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7E3" w:rsidRDefault="00CC37E3" w:rsidP="00395639">
    <w:pPr>
      <w:pStyle w:val="Header"/>
      <w:tabs>
        <w:tab w:val="clear" w:pos="4703"/>
        <w:tab w:val="clear" w:pos="9406"/>
        <w:tab w:val="left" w:pos="8496"/>
      </w:tabs>
      <w:jc w:val="center"/>
    </w:pPr>
    <w:r>
      <w:t>AMBASCIATA DELLA REPUBBLICA DI BULGARIA ROMA</w:t>
    </w:r>
  </w:p>
  <w:p w:rsidR="003741EB" w:rsidRPr="003741EB" w:rsidRDefault="00CC37E3" w:rsidP="00395639">
    <w:pPr>
      <w:pStyle w:val="Header"/>
      <w:tabs>
        <w:tab w:val="clear" w:pos="4703"/>
        <w:tab w:val="clear" w:pos="9406"/>
        <w:tab w:val="left" w:pos="8496"/>
      </w:tabs>
      <w:jc w:val="center"/>
      <w:rPr>
        <w:lang w:val="bg-BG"/>
      </w:rPr>
    </w:pPr>
    <w:proofErr w:type="spellStart"/>
    <w:r>
      <w:t>Ufficio</w:t>
    </w:r>
    <w:proofErr w:type="spellEnd"/>
    <w:r>
      <w:t xml:space="preserve"> </w:t>
    </w:r>
    <w:proofErr w:type="spellStart"/>
    <w:r>
      <w:t>Affari</w:t>
    </w:r>
    <w:proofErr w:type="spellEnd"/>
    <w:r>
      <w:t xml:space="preserve"> </w:t>
    </w:r>
    <w:proofErr w:type="spellStart"/>
    <w:r>
      <w:t>Commerciali</w:t>
    </w:r>
    <w:proofErr w:type="spellEnd"/>
    <w:r>
      <w:t xml:space="preserve"> </w:t>
    </w:r>
    <w:proofErr w:type="spellStart"/>
    <w:r>
      <w:t>ed</w:t>
    </w:r>
    <w:proofErr w:type="spellEnd"/>
    <w:r>
      <w:t xml:space="preserve"> </w:t>
    </w:r>
    <w:proofErr w:type="spellStart"/>
    <w:r>
      <w:t>Economiche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389"/>
    <w:rsid w:val="00044123"/>
    <w:rsid w:val="00256ED9"/>
    <w:rsid w:val="003044BC"/>
    <w:rsid w:val="003741EB"/>
    <w:rsid w:val="00395639"/>
    <w:rsid w:val="004E2BCA"/>
    <w:rsid w:val="004F6290"/>
    <w:rsid w:val="005B183F"/>
    <w:rsid w:val="006F3508"/>
    <w:rsid w:val="00737AD6"/>
    <w:rsid w:val="007F36CE"/>
    <w:rsid w:val="0081601B"/>
    <w:rsid w:val="008D4389"/>
    <w:rsid w:val="00932650"/>
    <w:rsid w:val="00956D82"/>
    <w:rsid w:val="00A91A06"/>
    <w:rsid w:val="00A97238"/>
    <w:rsid w:val="00AA098D"/>
    <w:rsid w:val="00C400CA"/>
    <w:rsid w:val="00CC37E3"/>
    <w:rsid w:val="00E52313"/>
    <w:rsid w:val="00F8523B"/>
    <w:rsid w:val="00FF6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894557-2457-44FD-80D1-C00CA67C5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41E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41EB"/>
  </w:style>
  <w:style w:type="paragraph" w:styleId="Footer">
    <w:name w:val="footer"/>
    <w:basedOn w:val="Normal"/>
    <w:link w:val="FooterChar"/>
    <w:uiPriority w:val="99"/>
    <w:unhideWhenUsed/>
    <w:rsid w:val="003741E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41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9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53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6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7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6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5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55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0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6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</dc:creator>
  <cp:keywords/>
  <dc:description/>
  <cp:lastModifiedBy>MI</cp:lastModifiedBy>
  <cp:revision>3</cp:revision>
  <dcterms:created xsi:type="dcterms:W3CDTF">2026-04-21T14:47:00Z</dcterms:created>
  <dcterms:modified xsi:type="dcterms:W3CDTF">2026-04-21T15:30:00Z</dcterms:modified>
</cp:coreProperties>
</file>