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B59C" w14:textId="3F3B808B" w:rsidR="00CE4C9F" w:rsidRDefault="00CE4C9F" w:rsidP="00CE4C9F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E4C9F">
        <w:rPr>
          <w:rFonts w:cstheme="minorHAnsi"/>
          <w:b/>
          <w:sz w:val="28"/>
          <w:szCs w:val="28"/>
          <w:u w:val="single"/>
        </w:rPr>
        <w:t xml:space="preserve">NOTA INFORMATIVA </w:t>
      </w:r>
    </w:p>
    <w:p w14:paraId="68BF2362" w14:textId="77777777" w:rsidR="00054EE6" w:rsidRPr="00CE4C9F" w:rsidRDefault="00054EE6" w:rsidP="00CE4C9F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7B2803AD" w14:textId="7C023009" w:rsidR="00CE4C9F" w:rsidRDefault="00CE4C9F" w:rsidP="00CE4C9F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E4C9F">
        <w:rPr>
          <w:rFonts w:cstheme="minorHAnsi"/>
          <w:b/>
          <w:sz w:val="28"/>
          <w:szCs w:val="28"/>
          <w:u w:val="single"/>
        </w:rPr>
        <w:t xml:space="preserve">GLOBAL GATEWAY </w:t>
      </w:r>
    </w:p>
    <w:p w14:paraId="2A742FC9" w14:textId="77777777" w:rsidR="005C4FF0" w:rsidRPr="00CE4C9F" w:rsidRDefault="005C4FF0" w:rsidP="00CE4C9F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4921F42A" w14:textId="77777777" w:rsidR="00CE4C9F" w:rsidRPr="009F14BD" w:rsidRDefault="00CE4C9F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b/>
          <w:i/>
          <w:sz w:val="26"/>
          <w:szCs w:val="26"/>
        </w:rPr>
        <w:t>Global Gateway</w:t>
      </w:r>
      <w:r w:rsidRPr="009F14BD">
        <w:rPr>
          <w:rFonts w:cstheme="minorHAnsi"/>
          <w:sz w:val="26"/>
          <w:szCs w:val="26"/>
        </w:rPr>
        <w:t xml:space="preserve"> è la strategia dell’UE per mobilitare e valorizzare gli </w:t>
      </w:r>
      <w:r w:rsidRPr="009F14BD">
        <w:rPr>
          <w:rFonts w:cstheme="minorHAnsi"/>
          <w:b/>
          <w:sz w:val="26"/>
          <w:szCs w:val="26"/>
        </w:rPr>
        <w:t>investimenti pubblici e privati</w:t>
      </w:r>
      <w:r w:rsidRPr="009F14BD">
        <w:rPr>
          <w:rFonts w:cstheme="minorHAnsi"/>
          <w:sz w:val="26"/>
          <w:szCs w:val="26"/>
        </w:rPr>
        <w:t xml:space="preserve"> </w:t>
      </w:r>
      <w:r w:rsidRPr="009F14BD">
        <w:rPr>
          <w:rFonts w:cstheme="minorHAnsi"/>
          <w:b/>
          <w:sz w:val="26"/>
          <w:szCs w:val="26"/>
        </w:rPr>
        <w:t>nei collegamenti infrastrutturali tra l’Unione europea e i suoi partner</w:t>
      </w:r>
      <w:r w:rsidRPr="009F14BD">
        <w:rPr>
          <w:rFonts w:cstheme="minorHAnsi"/>
          <w:sz w:val="26"/>
          <w:szCs w:val="26"/>
        </w:rPr>
        <w:t>, lanciata nel dicembre 2021 in un’ottica di autonomia strategica e di differenziazione progressiva delle catene di fornitura. Le aree geografiche interessate</w:t>
      </w:r>
      <w:r w:rsidR="00D53C99">
        <w:rPr>
          <w:rFonts w:cstheme="minorHAnsi"/>
          <w:sz w:val="26"/>
          <w:szCs w:val="26"/>
        </w:rPr>
        <w:t>, in coerenza con le priorità geopolitiche dell’UE,</w:t>
      </w:r>
      <w:r w:rsidRPr="009F14BD">
        <w:rPr>
          <w:rFonts w:cstheme="minorHAnsi"/>
          <w:sz w:val="26"/>
          <w:szCs w:val="26"/>
        </w:rPr>
        <w:t xml:space="preserve"> sono </w:t>
      </w:r>
      <w:r w:rsidRPr="009F14BD">
        <w:rPr>
          <w:rFonts w:cstheme="minorHAnsi"/>
          <w:b/>
          <w:sz w:val="26"/>
          <w:szCs w:val="26"/>
        </w:rPr>
        <w:t>Balcani occidentali, Paesi del partenariato orientale e del vicinato meridionale, Africa, Asia Centrale, ASEAN, America Latina e Caraibi</w:t>
      </w:r>
      <w:r w:rsidRPr="009F14BD">
        <w:rPr>
          <w:rFonts w:cstheme="minorHAnsi"/>
          <w:sz w:val="26"/>
          <w:szCs w:val="26"/>
        </w:rPr>
        <w:t xml:space="preserve">.  </w:t>
      </w:r>
    </w:p>
    <w:p w14:paraId="36A0D3E3" w14:textId="77777777" w:rsidR="00CE4C9F" w:rsidRPr="009F14BD" w:rsidRDefault="00CE4C9F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sz w:val="26"/>
          <w:szCs w:val="26"/>
        </w:rPr>
        <w:t xml:space="preserve">Con il Global Gateway l’UE propone </w:t>
      </w:r>
      <w:r w:rsidRPr="009F14BD">
        <w:rPr>
          <w:rFonts w:cstheme="minorHAnsi"/>
          <w:b/>
          <w:sz w:val="26"/>
          <w:szCs w:val="26"/>
        </w:rPr>
        <w:t>un modello di sviluppo alternativo</w:t>
      </w:r>
      <w:r w:rsidRPr="009F14BD">
        <w:rPr>
          <w:rFonts w:cstheme="minorHAnsi"/>
          <w:sz w:val="26"/>
          <w:szCs w:val="26"/>
        </w:rPr>
        <w:t xml:space="preserve"> (attento alla transizione verde, al quadro regolatorio, al mondo del lavoro, alla promozione dello sviluppo sostenibile) rispetto ad altri </w:t>
      </w:r>
      <w:r w:rsidRPr="001F387E">
        <w:rPr>
          <w:rFonts w:cstheme="minorHAnsi"/>
          <w:i/>
          <w:sz w:val="26"/>
          <w:szCs w:val="26"/>
        </w:rPr>
        <w:t xml:space="preserve">competitor </w:t>
      </w:r>
      <w:r w:rsidRPr="009F14BD">
        <w:rPr>
          <w:rFonts w:cstheme="minorHAnsi"/>
          <w:sz w:val="26"/>
          <w:szCs w:val="26"/>
        </w:rPr>
        <w:t xml:space="preserve">internazionali, </w:t>
      </w:r>
      <w:r w:rsidRPr="009F14BD">
        <w:rPr>
          <w:rFonts w:cstheme="minorHAnsi"/>
          <w:b/>
          <w:sz w:val="26"/>
          <w:szCs w:val="26"/>
        </w:rPr>
        <w:t>attraverso un’offerta di investimenti di qualità superiore, discussi e realizzati in accordo con i Paesi partner e con modalità che limitino i rischi debitori per i beneficiari</w:t>
      </w:r>
      <w:r w:rsidRPr="009F14BD">
        <w:rPr>
          <w:rFonts w:cstheme="minorHAnsi"/>
          <w:sz w:val="26"/>
          <w:szCs w:val="26"/>
        </w:rPr>
        <w:t>.</w:t>
      </w:r>
    </w:p>
    <w:p w14:paraId="52ED8321" w14:textId="77777777" w:rsidR="00CE4C9F" w:rsidRDefault="00CE4C9F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sz w:val="26"/>
          <w:szCs w:val="26"/>
        </w:rPr>
        <w:t xml:space="preserve">I settori prioritari </w:t>
      </w:r>
      <w:r w:rsidR="006D1954" w:rsidRPr="009F14BD">
        <w:rPr>
          <w:rFonts w:cstheme="minorHAnsi"/>
          <w:sz w:val="26"/>
          <w:szCs w:val="26"/>
        </w:rPr>
        <w:t xml:space="preserve">del Global Gateway </w:t>
      </w:r>
      <w:r w:rsidRPr="009F14BD">
        <w:rPr>
          <w:rFonts w:cstheme="minorHAnsi"/>
          <w:sz w:val="26"/>
          <w:szCs w:val="26"/>
        </w:rPr>
        <w:t xml:space="preserve">per gli investimenti </w:t>
      </w:r>
      <w:r w:rsidR="006D1954">
        <w:rPr>
          <w:rFonts w:cstheme="minorHAnsi"/>
          <w:sz w:val="26"/>
          <w:szCs w:val="26"/>
        </w:rPr>
        <w:t xml:space="preserve">in “infrastrutture di connettività” </w:t>
      </w:r>
      <w:r w:rsidR="009D7C75">
        <w:rPr>
          <w:rFonts w:cstheme="minorHAnsi"/>
          <w:sz w:val="26"/>
          <w:szCs w:val="26"/>
        </w:rPr>
        <w:t xml:space="preserve">sostenibili </w:t>
      </w:r>
      <w:r w:rsidRPr="009F14BD">
        <w:rPr>
          <w:rFonts w:cstheme="minorHAnsi"/>
          <w:sz w:val="26"/>
          <w:szCs w:val="26"/>
        </w:rPr>
        <w:t>sono:</w:t>
      </w:r>
    </w:p>
    <w:p w14:paraId="1AB506CD" w14:textId="77777777" w:rsidR="005C4FF0" w:rsidRPr="009F14BD" w:rsidRDefault="005C4FF0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CCC76C1" w14:textId="77777777" w:rsidR="00CE4C9F" w:rsidRPr="009F14BD" w:rsidRDefault="00CE4C9F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b/>
          <w:sz w:val="26"/>
          <w:szCs w:val="26"/>
        </w:rPr>
        <w:t xml:space="preserve">Digitale: </w:t>
      </w:r>
      <w:r w:rsidRPr="009F14BD">
        <w:rPr>
          <w:rFonts w:cstheme="minorHAnsi"/>
          <w:sz w:val="26"/>
          <w:szCs w:val="26"/>
        </w:rPr>
        <w:t>investimenti per la creazione di una rete internet sicura e aperta;</w:t>
      </w:r>
    </w:p>
    <w:p w14:paraId="4AF4CE49" w14:textId="77777777" w:rsidR="00CE4C9F" w:rsidRPr="009F14BD" w:rsidRDefault="00CE4C9F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b/>
          <w:sz w:val="26"/>
          <w:szCs w:val="26"/>
        </w:rPr>
        <w:t>Clima ed energia:</w:t>
      </w:r>
      <w:r w:rsidRPr="009F14BD">
        <w:rPr>
          <w:rFonts w:cstheme="minorHAnsi"/>
          <w:sz w:val="26"/>
          <w:szCs w:val="26"/>
        </w:rPr>
        <w:t xml:space="preserve"> investimenti per accelerare la transizione verde;</w:t>
      </w:r>
    </w:p>
    <w:p w14:paraId="2C9AB03F" w14:textId="77777777" w:rsidR="00CE4C9F" w:rsidRPr="009F14BD" w:rsidRDefault="00CE4C9F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b/>
          <w:sz w:val="26"/>
          <w:szCs w:val="26"/>
        </w:rPr>
        <w:t>Trasporti</w:t>
      </w:r>
      <w:r w:rsidRPr="009F14BD">
        <w:rPr>
          <w:rFonts w:cstheme="minorHAnsi"/>
          <w:sz w:val="26"/>
          <w:szCs w:val="26"/>
        </w:rPr>
        <w:t>: investimenti per un sistema globale di trasporti sostenibile e sicuro;</w:t>
      </w:r>
    </w:p>
    <w:p w14:paraId="45681FAD" w14:textId="77777777" w:rsidR="00CE4C9F" w:rsidRPr="009F14BD" w:rsidRDefault="00CE4C9F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b/>
          <w:sz w:val="26"/>
          <w:szCs w:val="26"/>
        </w:rPr>
        <w:t>Salute</w:t>
      </w:r>
      <w:r w:rsidRPr="009F14BD">
        <w:rPr>
          <w:rFonts w:cstheme="minorHAnsi"/>
          <w:sz w:val="26"/>
          <w:szCs w:val="26"/>
        </w:rPr>
        <w:t>: rafforzamento delle catene di valore e della produzione locale di vaccini;</w:t>
      </w:r>
    </w:p>
    <w:p w14:paraId="469411EE" w14:textId="77777777" w:rsidR="00CE4C9F" w:rsidRDefault="006D1954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Formazione</w:t>
      </w:r>
      <w:r w:rsidR="00CE4C9F" w:rsidRPr="009F14BD">
        <w:rPr>
          <w:rFonts w:cstheme="minorHAnsi"/>
          <w:b/>
          <w:sz w:val="26"/>
          <w:szCs w:val="26"/>
        </w:rPr>
        <w:t xml:space="preserve"> e </w:t>
      </w:r>
      <w:r>
        <w:rPr>
          <w:rFonts w:cstheme="minorHAnsi"/>
          <w:b/>
          <w:sz w:val="26"/>
          <w:szCs w:val="26"/>
        </w:rPr>
        <w:t>R</w:t>
      </w:r>
      <w:r w:rsidR="00CE4C9F" w:rsidRPr="009F14BD">
        <w:rPr>
          <w:rFonts w:cstheme="minorHAnsi"/>
          <w:b/>
          <w:sz w:val="26"/>
          <w:szCs w:val="26"/>
        </w:rPr>
        <w:t>icerca</w:t>
      </w:r>
      <w:r w:rsidR="00CE4C9F" w:rsidRPr="009F14BD">
        <w:rPr>
          <w:rFonts w:cstheme="minorHAnsi"/>
          <w:sz w:val="26"/>
          <w:szCs w:val="26"/>
        </w:rPr>
        <w:t>: investimenti in formazione di qualità e ricerca, con attenzione a donne e gruppi vulnerabili</w:t>
      </w:r>
      <w:r w:rsidR="00CE4C9F" w:rsidRPr="009F14BD">
        <w:rPr>
          <w:rStyle w:val="Rimandonotaapidipagina"/>
          <w:rFonts w:cstheme="minorHAnsi"/>
          <w:sz w:val="26"/>
          <w:szCs w:val="26"/>
        </w:rPr>
        <w:footnoteReference w:id="1"/>
      </w:r>
      <w:r w:rsidR="00CE4C9F" w:rsidRPr="009F14BD">
        <w:rPr>
          <w:rFonts w:cstheme="minorHAnsi"/>
          <w:sz w:val="26"/>
          <w:szCs w:val="26"/>
        </w:rPr>
        <w:t>.</w:t>
      </w:r>
    </w:p>
    <w:p w14:paraId="02F2F641" w14:textId="77777777" w:rsidR="005C4FF0" w:rsidRPr="009F14BD" w:rsidRDefault="005C4FF0" w:rsidP="00CE4C9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6"/>
          <w:szCs w:val="26"/>
        </w:rPr>
      </w:pPr>
    </w:p>
    <w:p w14:paraId="3980A862" w14:textId="77777777" w:rsidR="00CE4C9F" w:rsidRDefault="006D1954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primi tre ambiti appartengono al campo delle “infrastrutture fisiche” propriamente dette, mentre Salute e Formazione e Ricerca si collocano nella più ampia categoria delle “infrastrutture immateriali” che pure assumono una valenza chiave nel rapporto dell’UE con i propri Partner, sullo sfondo dei correnti scenari geopolitici.</w:t>
      </w:r>
    </w:p>
    <w:p w14:paraId="17C89809" w14:textId="77777777" w:rsidR="006D1954" w:rsidRPr="009F14BD" w:rsidRDefault="006D1954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57D6259" w14:textId="77777777" w:rsidR="006D1954" w:rsidRDefault="00CE4C9F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sz w:val="26"/>
          <w:szCs w:val="26"/>
        </w:rPr>
        <w:t xml:space="preserve">Il volume di investimenti </w:t>
      </w:r>
      <w:r w:rsidR="009D7C75">
        <w:rPr>
          <w:rFonts w:cstheme="minorHAnsi"/>
          <w:sz w:val="26"/>
          <w:szCs w:val="26"/>
        </w:rPr>
        <w:t xml:space="preserve">che potrebbe essere catalizzato dalla Strategia, come ipotizzato  </w:t>
      </w:r>
      <w:r w:rsidRPr="009F14BD">
        <w:rPr>
          <w:rFonts w:cstheme="minorHAnsi"/>
          <w:sz w:val="26"/>
          <w:szCs w:val="26"/>
        </w:rPr>
        <w:t xml:space="preserve"> </w:t>
      </w:r>
      <w:r w:rsidR="009D7C75" w:rsidRPr="009F14BD">
        <w:rPr>
          <w:rFonts w:cstheme="minorHAnsi"/>
          <w:sz w:val="26"/>
          <w:szCs w:val="26"/>
        </w:rPr>
        <w:t>dalla Commissione</w:t>
      </w:r>
      <w:r w:rsidR="009D7C75">
        <w:rPr>
          <w:rFonts w:cstheme="minorHAnsi"/>
          <w:sz w:val="26"/>
          <w:szCs w:val="26"/>
        </w:rPr>
        <w:t xml:space="preserve">, </w:t>
      </w:r>
      <w:r w:rsidRPr="009F14BD">
        <w:rPr>
          <w:rFonts w:cstheme="minorHAnsi"/>
          <w:sz w:val="26"/>
          <w:szCs w:val="26"/>
        </w:rPr>
        <w:t xml:space="preserve">ammonta a </w:t>
      </w:r>
      <w:r w:rsidRPr="009F14BD">
        <w:rPr>
          <w:rFonts w:cstheme="minorHAnsi"/>
          <w:b/>
          <w:sz w:val="26"/>
          <w:szCs w:val="26"/>
        </w:rPr>
        <w:t>300 miliardi di euro fra il 2021 e il 2027</w:t>
      </w:r>
      <w:r w:rsidRPr="009F14BD">
        <w:rPr>
          <w:rFonts w:cstheme="minorHAnsi"/>
          <w:sz w:val="26"/>
          <w:szCs w:val="26"/>
        </w:rPr>
        <w:t xml:space="preserve">. </w:t>
      </w:r>
    </w:p>
    <w:p w14:paraId="363291FA" w14:textId="77777777" w:rsidR="00CE4C9F" w:rsidRPr="009F14BD" w:rsidRDefault="00CE4C9F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F14BD">
        <w:rPr>
          <w:rFonts w:cstheme="minorHAnsi"/>
          <w:sz w:val="26"/>
          <w:szCs w:val="26"/>
        </w:rPr>
        <w:t xml:space="preserve">La strategia combina le </w:t>
      </w:r>
      <w:r w:rsidRPr="006D1954">
        <w:rPr>
          <w:rFonts w:cstheme="minorHAnsi"/>
          <w:b/>
          <w:sz w:val="26"/>
          <w:szCs w:val="26"/>
        </w:rPr>
        <w:t>risorse pubbliche</w:t>
      </w:r>
      <w:r w:rsidRPr="009F14BD">
        <w:rPr>
          <w:rFonts w:cstheme="minorHAnsi"/>
          <w:sz w:val="26"/>
          <w:szCs w:val="26"/>
        </w:rPr>
        <w:t xml:space="preserve"> dell'UE</w:t>
      </w:r>
      <w:r w:rsidR="006D1954">
        <w:rPr>
          <w:rFonts w:cstheme="minorHAnsi"/>
          <w:sz w:val="26"/>
          <w:szCs w:val="26"/>
        </w:rPr>
        <w:t>, dei suoi Stati membri, delle Istituzioni finanziarie e delle B</w:t>
      </w:r>
      <w:r w:rsidRPr="009F14BD">
        <w:rPr>
          <w:rFonts w:cstheme="minorHAnsi"/>
          <w:sz w:val="26"/>
          <w:szCs w:val="26"/>
        </w:rPr>
        <w:t xml:space="preserve">anche di sviluppo multilaterali, mirando altresì ad attirare </w:t>
      </w:r>
      <w:r w:rsidRPr="006D1954">
        <w:rPr>
          <w:rFonts w:cstheme="minorHAnsi"/>
          <w:b/>
          <w:sz w:val="26"/>
          <w:szCs w:val="26"/>
        </w:rPr>
        <w:t>capitali privati</w:t>
      </w:r>
      <w:r w:rsidRPr="009F14BD">
        <w:rPr>
          <w:rFonts w:cstheme="minorHAnsi"/>
          <w:sz w:val="26"/>
          <w:szCs w:val="26"/>
        </w:rPr>
        <w:t xml:space="preserve">, secondo l’approccio proprio delle </w:t>
      </w:r>
      <w:r w:rsidRPr="009F14BD">
        <w:rPr>
          <w:rFonts w:cstheme="minorHAnsi"/>
          <w:i/>
          <w:sz w:val="26"/>
          <w:szCs w:val="26"/>
        </w:rPr>
        <w:t>Team Europe Initiatives</w:t>
      </w:r>
      <w:r w:rsidRPr="009F14BD">
        <w:rPr>
          <w:rFonts w:cstheme="minorHAnsi"/>
          <w:sz w:val="26"/>
          <w:szCs w:val="26"/>
        </w:rPr>
        <w:t xml:space="preserve">. I finanziamenti pubblici dell’UE proverranno dal </w:t>
      </w:r>
      <w:r w:rsidRPr="009F14BD">
        <w:rPr>
          <w:rFonts w:cstheme="minorHAnsi"/>
          <w:b/>
          <w:sz w:val="26"/>
          <w:szCs w:val="26"/>
        </w:rPr>
        <w:t>Quadro Finanziario Pluriennale 2021-2027</w:t>
      </w:r>
      <w:r w:rsidRPr="009F14BD">
        <w:rPr>
          <w:rFonts w:cstheme="minorHAnsi"/>
          <w:sz w:val="26"/>
          <w:szCs w:val="26"/>
        </w:rPr>
        <w:t xml:space="preserve">, e in particolare dallo </w:t>
      </w:r>
      <w:r w:rsidRPr="009F14BD">
        <w:rPr>
          <w:rFonts w:cstheme="minorHAnsi"/>
          <w:b/>
          <w:sz w:val="26"/>
          <w:szCs w:val="26"/>
        </w:rPr>
        <w:t>Strumento di vicinato, cooperazione allo sviluppo e cooperazione internazionale</w:t>
      </w:r>
      <w:r w:rsidRPr="009F14BD">
        <w:rPr>
          <w:rFonts w:cstheme="minorHAnsi"/>
          <w:sz w:val="26"/>
          <w:szCs w:val="26"/>
        </w:rPr>
        <w:t xml:space="preserve"> (NDICI Global Europe), con ricorso particolare al </w:t>
      </w:r>
      <w:r w:rsidRPr="009F14BD">
        <w:rPr>
          <w:rFonts w:cstheme="minorHAnsi"/>
          <w:b/>
          <w:sz w:val="26"/>
          <w:szCs w:val="26"/>
        </w:rPr>
        <w:t>Fondo europeo per lo sviluppo sostenibile plus</w:t>
      </w:r>
      <w:r w:rsidRPr="009F14BD">
        <w:rPr>
          <w:rFonts w:cstheme="minorHAnsi"/>
          <w:sz w:val="26"/>
          <w:szCs w:val="26"/>
        </w:rPr>
        <w:t xml:space="preserve"> (EFSD+)</w:t>
      </w:r>
      <w:r w:rsidRPr="009F14BD">
        <w:rPr>
          <w:rStyle w:val="Rimandonotaapidipagina"/>
          <w:rFonts w:cstheme="minorHAnsi"/>
          <w:sz w:val="26"/>
          <w:szCs w:val="26"/>
        </w:rPr>
        <w:footnoteReference w:id="2"/>
      </w:r>
      <w:r w:rsidRPr="009F14BD">
        <w:rPr>
          <w:rFonts w:cstheme="minorHAnsi"/>
          <w:sz w:val="26"/>
          <w:szCs w:val="26"/>
        </w:rPr>
        <w:t xml:space="preserve">. </w:t>
      </w:r>
      <w:r w:rsidRPr="009F14BD">
        <w:rPr>
          <w:rFonts w:cstheme="minorHAnsi"/>
          <w:b/>
          <w:sz w:val="26"/>
          <w:szCs w:val="26"/>
        </w:rPr>
        <w:t xml:space="preserve">Verrà data </w:t>
      </w:r>
      <w:r w:rsidRPr="00F01748">
        <w:rPr>
          <w:rFonts w:cstheme="minorHAnsi"/>
          <w:b/>
          <w:sz w:val="26"/>
          <w:szCs w:val="26"/>
          <w:u w:val="single"/>
        </w:rPr>
        <w:t>priorità a sovvenzioni e garanzie di bilancio</w:t>
      </w:r>
      <w:r w:rsidRPr="009F14BD">
        <w:rPr>
          <w:rFonts w:cstheme="minorHAnsi"/>
          <w:b/>
          <w:sz w:val="26"/>
          <w:szCs w:val="26"/>
        </w:rPr>
        <w:t xml:space="preserve">, </w:t>
      </w:r>
      <w:r w:rsidR="007432AC">
        <w:rPr>
          <w:rFonts w:cstheme="minorHAnsi"/>
          <w:b/>
          <w:sz w:val="26"/>
          <w:szCs w:val="26"/>
        </w:rPr>
        <w:t xml:space="preserve">oltre agli strumenti della </w:t>
      </w:r>
      <w:r w:rsidR="007432AC">
        <w:rPr>
          <w:rFonts w:cstheme="minorHAnsi"/>
          <w:b/>
          <w:sz w:val="26"/>
          <w:szCs w:val="26"/>
        </w:rPr>
        <w:lastRenderedPageBreak/>
        <w:t xml:space="preserve">“finanza per lo sviluppo”, </w:t>
      </w:r>
      <w:r w:rsidRPr="009F14BD">
        <w:rPr>
          <w:rFonts w:cstheme="minorHAnsi"/>
          <w:b/>
          <w:sz w:val="26"/>
          <w:szCs w:val="26"/>
        </w:rPr>
        <w:t>che riducano i rischi per gli investitori privati</w:t>
      </w:r>
      <w:r w:rsidR="007432AC">
        <w:rPr>
          <w:rFonts w:cstheme="minorHAnsi"/>
          <w:b/>
          <w:sz w:val="26"/>
          <w:szCs w:val="26"/>
        </w:rPr>
        <w:t xml:space="preserve"> (cd “derisking”),</w:t>
      </w:r>
      <w:r w:rsidRPr="009F14BD">
        <w:rPr>
          <w:rFonts w:cstheme="minorHAnsi"/>
          <w:b/>
          <w:sz w:val="26"/>
          <w:szCs w:val="26"/>
        </w:rPr>
        <w:t xml:space="preserve"> sen</w:t>
      </w:r>
      <w:r w:rsidR="007432AC">
        <w:rPr>
          <w:rFonts w:cstheme="minorHAnsi"/>
          <w:b/>
          <w:sz w:val="26"/>
          <w:szCs w:val="26"/>
        </w:rPr>
        <w:t>za sostituirsi a questi ultimi ma</w:t>
      </w:r>
      <w:r w:rsidRPr="009F14BD">
        <w:rPr>
          <w:rFonts w:cstheme="minorHAnsi"/>
          <w:b/>
          <w:sz w:val="26"/>
          <w:szCs w:val="26"/>
        </w:rPr>
        <w:t xml:space="preserve"> migliorando la sostenibilità del debito</w:t>
      </w:r>
      <w:r w:rsidRPr="009F14BD">
        <w:rPr>
          <w:rFonts w:cstheme="minorHAnsi"/>
          <w:sz w:val="26"/>
          <w:szCs w:val="26"/>
        </w:rPr>
        <w:t xml:space="preserve">. </w:t>
      </w:r>
    </w:p>
    <w:p w14:paraId="4D16ECA6" w14:textId="77777777" w:rsidR="009D7C75" w:rsidRDefault="009D7C75" w:rsidP="00CE4C9F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03818B6D" w14:textId="77777777" w:rsidR="009D7C75" w:rsidRDefault="009D7C75" w:rsidP="00CE4C9F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1BCE9663" w14:textId="77777777" w:rsidR="007432AC" w:rsidRDefault="007432AC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Global Gateway si concentra</w:t>
      </w:r>
      <w:r w:rsidR="00CE4C9F" w:rsidRPr="009F14BD">
        <w:rPr>
          <w:rFonts w:cstheme="minorHAnsi"/>
          <w:b/>
          <w:sz w:val="26"/>
          <w:szCs w:val="26"/>
        </w:rPr>
        <w:t xml:space="preserve"> sull'infrastruttura fisica </w:t>
      </w:r>
      <w:r w:rsidR="00CE4C9F" w:rsidRPr="009F14BD">
        <w:rPr>
          <w:rFonts w:cstheme="minorHAnsi"/>
          <w:sz w:val="26"/>
          <w:szCs w:val="26"/>
        </w:rPr>
        <w:t>- quali cavi a fibre ottiche, corridoi di trasporto, linee di trasmissione di energia pulita - per rafforzare le reti digitali, dei trasporti e dell'energia, adottando un approccio etico in modo che “</w:t>
      </w:r>
      <w:r w:rsidR="00CE4C9F" w:rsidRPr="009F14BD">
        <w:rPr>
          <w:rFonts w:cstheme="minorHAnsi"/>
          <w:i/>
          <w:sz w:val="26"/>
          <w:szCs w:val="26"/>
        </w:rPr>
        <w:t>i progetti infrastrutturali non creino un debito insostenibile o dipendenze indesiderate</w:t>
      </w:r>
      <w:r w:rsidR="00CE4C9F" w:rsidRPr="009F14BD">
        <w:rPr>
          <w:rFonts w:cstheme="minorHAnsi"/>
          <w:sz w:val="26"/>
          <w:szCs w:val="26"/>
        </w:rPr>
        <w:t xml:space="preserve">”. </w:t>
      </w:r>
      <w:r>
        <w:rPr>
          <w:rFonts w:cstheme="minorHAnsi"/>
          <w:b/>
          <w:sz w:val="26"/>
          <w:szCs w:val="26"/>
        </w:rPr>
        <w:t>La strategia mira a creare</w:t>
      </w:r>
      <w:r w:rsidR="00CE4C9F" w:rsidRPr="009F14BD">
        <w:rPr>
          <w:rFonts w:cstheme="minorHAnsi"/>
          <w:b/>
          <w:sz w:val="26"/>
          <w:szCs w:val="26"/>
        </w:rPr>
        <w:t xml:space="preserve"> inoltre un </w:t>
      </w:r>
      <w:r>
        <w:rPr>
          <w:rFonts w:cstheme="minorHAnsi"/>
          <w:b/>
          <w:sz w:val="26"/>
          <w:szCs w:val="26"/>
        </w:rPr>
        <w:t>“</w:t>
      </w:r>
      <w:r w:rsidR="00CE4C9F" w:rsidRPr="009F14BD">
        <w:rPr>
          <w:rFonts w:cstheme="minorHAnsi"/>
          <w:b/>
          <w:sz w:val="26"/>
          <w:szCs w:val="26"/>
        </w:rPr>
        <w:t>ambiente</w:t>
      </w:r>
      <w:r>
        <w:rPr>
          <w:rFonts w:cstheme="minorHAnsi"/>
          <w:b/>
          <w:sz w:val="26"/>
          <w:szCs w:val="26"/>
        </w:rPr>
        <w:t>”</w:t>
      </w:r>
      <w:r w:rsidR="00CE4C9F" w:rsidRPr="009F14BD">
        <w:rPr>
          <w:rFonts w:cstheme="minorHAnsi"/>
          <w:b/>
          <w:sz w:val="26"/>
          <w:szCs w:val="26"/>
        </w:rPr>
        <w:t xml:space="preserve"> favorevole alla realizzazione dei progetti</w:t>
      </w:r>
      <w:r w:rsidR="00CE4C9F" w:rsidRPr="009F14BD">
        <w:rPr>
          <w:rFonts w:cstheme="minorHAnsi"/>
          <w:sz w:val="26"/>
          <w:szCs w:val="26"/>
        </w:rPr>
        <w:t>, offrendo</w:t>
      </w:r>
      <w:r>
        <w:rPr>
          <w:rFonts w:cstheme="minorHAnsi"/>
          <w:sz w:val="26"/>
          <w:szCs w:val="26"/>
        </w:rPr>
        <w:t xml:space="preserve">, </w:t>
      </w:r>
      <w:r w:rsidR="00DB6F3E">
        <w:rPr>
          <w:rFonts w:cstheme="minorHAnsi"/>
          <w:sz w:val="26"/>
          <w:szCs w:val="26"/>
        </w:rPr>
        <w:t>in aggiunta a</w:t>
      </w:r>
      <w:r w:rsidR="00CE4C9F" w:rsidRPr="009F14BD">
        <w:rPr>
          <w:rFonts w:cstheme="minorHAnsi"/>
          <w:sz w:val="26"/>
          <w:szCs w:val="26"/>
        </w:rPr>
        <w:t xml:space="preserve"> condizioni commerciali </w:t>
      </w:r>
      <w:r>
        <w:rPr>
          <w:rFonts w:cstheme="minorHAnsi"/>
          <w:sz w:val="26"/>
          <w:szCs w:val="26"/>
        </w:rPr>
        <w:t xml:space="preserve">e </w:t>
      </w:r>
      <w:r w:rsidRPr="009F14BD">
        <w:rPr>
          <w:rFonts w:cstheme="minorHAnsi"/>
          <w:sz w:val="26"/>
          <w:szCs w:val="26"/>
        </w:rPr>
        <w:t>servizi finanziari</w:t>
      </w:r>
      <w:r>
        <w:rPr>
          <w:rFonts w:cstheme="minorHAnsi"/>
          <w:sz w:val="26"/>
          <w:szCs w:val="26"/>
        </w:rPr>
        <w:t xml:space="preserve"> </w:t>
      </w:r>
      <w:r w:rsidR="00806E3E">
        <w:rPr>
          <w:rFonts w:cstheme="minorHAnsi"/>
          <w:sz w:val="26"/>
          <w:szCs w:val="26"/>
        </w:rPr>
        <w:t xml:space="preserve">di interesse per le </w:t>
      </w:r>
      <w:r w:rsidR="00CE4C9F" w:rsidRPr="009F14BD">
        <w:rPr>
          <w:rFonts w:cstheme="minorHAnsi"/>
          <w:sz w:val="26"/>
          <w:szCs w:val="26"/>
        </w:rPr>
        <w:t xml:space="preserve">imprese, </w:t>
      </w:r>
      <w:r w:rsidR="00DB6F3E">
        <w:rPr>
          <w:rFonts w:cstheme="minorHAnsi"/>
          <w:sz w:val="26"/>
          <w:szCs w:val="26"/>
        </w:rPr>
        <w:t xml:space="preserve">anche </w:t>
      </w:r>
      <w:r>
        <w:rPr>
          <w:rFonts w:cstheme="minorHAnsi"/>
          <w:sz w:val="26"/>
          <w:szCs w:val="26"/>
        </w:rPr>
        <w:t xml:space="preserve">iniziative di assistenza alla </w:t>
      </w:r>
      <w:r w:rsidR="00CE4C9F" w:rsidRPr="009F14BD">
        <w:rPr>
          <w:rFonts w:cstheme="minorHAnsi"/>
          <w:sz w:val="26"/>
          <w:szCs w:val="26"/>
        </w:rPr>
        <w:t xml:space="preserve">convergenza normativa, </w:t>
      </w:r>
      <w:r>
        <w:rPr>
          <w:rFonts w:cstheme="minorHAnsi"/>
          <w:sz w:val="26"/>
          <w:szCs w:val="26"/>
        </w:rPr>
        <w:t>alla standardizzazione e all’</w:t>
      </w:r>
      <w:r w:rsidR="00CE4C9F" w:rsidRPr="009F14BD">
        <w:rPr>
          <w:rFonts w:cstheme="minorHAnsi"/>
          <w:sz w:val="26"/>
          <w:szCs w:val="26"/>
        </w:rPr>
        <w:t>integrazione delle catene di fornitura.</w:t>
      </w:r>
      <w:r>
        <w:rPr>
          <w:rFonts w:cstheme="minorHAnsi"/>
          <w:sz w:val="26"/>
          <w:szCs w:val="26"/>
        </w:rPr>
        <w:t xml:space="preserve"> </w:t>
      </w:r>
    </w:p>
    <w:p w14:paraId="5F6C19DF" w14:textId="77777777" w:rsidR="00860636" w:rsidRDefault="00860636" w:rsidP="00860636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D05BB2">
        <w:rPr>
          <w:rFonts w:cstheme="minorHAnsi"/>
          <w:bCs/>
          <w:sz w:val="26"/>
          <w:szCs w:val="26"/>
        </w:rPr>
        <w:t>Si tratta di “</w:t>
      </w:r>
      <w:r w:rsidRPr="00860636">
        <w:rPr>
          <w:rFonts w:cstheme="minorHAnsi"/>
          <w:bCs/>
          <w:i/>
          <w:sz w:val="26"/>
          <w:szCs w:val="26"/>
        </w:rPr>
        <w:t>soft measures</w:t>
      </w:r>
      <w:r w:rsidRPr="00D05BB2">
        <w:rPr>
          <w:rFonts w:cstheme="minorHAnsi"/>
          <w:bCs/>
          <w:sz w:val="26"/>
          <w:szCs w:val="26"/>
        </w:rPr>
        <w:t>” (secondo modelli già ampiamente rodati, come quello dei “</w:t>
      </w:r>
      <w:r w:rsidRPr="00860636">
        <w:rPr>
          <w:rFonts w:cstheme="minorHAnsi"/>
          <w:bCs/>
          <w:i/>
          <w:sz w:val="26"/>
          <w:szCs w:val="26"/>
        </w:rPr>
        <w:t>twinning</w:t>
      </w:r>
      <w:r w:rsidR="00F01748">
        <w:rPr>
          <w:rFonts w:cstheme="minorHAnsi"/>
          <w:bCs/>
          <w:sz w:val="26"/>
          <w:szCs w:val="26"/>
        </w:rPr>
        <w:t>”) che permetto</w:t>
      </w:r>
      <w:r w:rsidRPr="00D05BB2">
        <w:rPr>
          <w:rFonts w:cstheme="minorHAnsi"/>
          <w:bCs/>
          <w:sz w:val="26"/>
          <w:szCs w:val="26"/>
        </w:rPr>
        <w:t>no di migliorare gli standard regolatori, l’ambiente di business, le capacità della</w:t>
      </w:r>
      <w:r w:rsidR="00F01748">
        <w:rPr>
          <w:rFonts w:cstheme="minorHAnsi"/>
          <w:bCs/>
          <w:sz w:val="26"/>
          <w:szCs w:val="26"/>
        </w:rPr>
        <w:t xml:space="preserve"> forza lavoro locale, e consento</w:t>
      </w:r>
      <w:r w:rsidRPr="00D05BB2">
        <w:rPr>
          <w:rFonts w:cstheme="minorHAnsi"/>
          <w:bCs/>
          <w:sz w:val="26"/>
          <w:szCs w:val="26"/>
        </w:rPr>
        <w:t xml:space="preserve">no di incoraggiare l’innovazione e il trasferimento di tecnologie. </w:t>
      </w:r>
    </w:p>
    <w:p w14:paraId="51296BE8" w14:textId="77777777" w:rsidR="007432AC" w:rsidRDefault="007432AC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Global Gateway adotta quindi una logica “</w:t>
      </w:r>
      <w:r w:rsidR="00D01B30">
        <w:rPr>
          <w:rFonts w:cstheme="minorHAnsi"/>
          <w:sz w:val="26"/>
          <w:szCs w:val="26"/>
        </w:rPr>
        <w:t xml:space="preserve">di pacchetto” tagliato sul </w:t>
      </w:r>
      <w:r w:rsidRPr="007432AC">
        <w:rPr>
          <w:rFonts w:cstheme="minorHAnsi"/>
          <w:sz w:val="26"/>
          <w:szCs w:val="26"/>
        </w:rPr>
        <w:t>contesto locale</w:t>
      </w:r>
      <w:r w:rsidR="00D01B30">
        <w:rPr>
          <w:rFonts w:cstheme="minorHAnsi"/>
          <w:sz w:val="26"/>
          <w:szCs w:val="26"/>
        </w:rPr>
        <w:t xml:space="preserve"> del Paese Partner, </w:t>
      </w:r>
      <w:r w:rsidR="009D7C75">
        <w:rPr>
          <w:rFonts w:cstheme="minorHAnsi"/>
          <w:sz w:val="26"/>
          <w:szCs w:val="26"/>
        </w:rPr>
        <w:t xml:space="preserve">per </w:t>
      </w:r>
      <w:r w:rsidR="00D01B30">
        <w:rPr>
          <w:rFonts w:cstheme="minorHAnsi"/>
          <w:sz w:val="26"/>
          <w:szCs w:val="26"/>
        </w:rPr>
        <w:t xml:space="preserve">renderlo </w:t>
      </w:r>
      <w:r w:rsidRPr="007432AC">
        <w:rPr>
          <w:rFonts w:cstheme="minorHAnsi"/>
          <w:sz w:val="26"/>
          <w:szCs w:val="26"/>
        </w:rPr>
        <w:t xml:space="preserve">non solo </w:t>
      </w:r>
      <w:r w:rsidR="00D01B30">
        <w:rPr>
          <w:rFonts w:cstheme="minorHAnsi"/>
          <w:sz w:val="26"/>
          <w:szCs w:val="26"/>
        </w:rPr>
        <w:t>maggiormente</w:t>
      </w:r>
      <w:r w:rsidRPr="007432AC">
        <w:rPr>
          <w:rFonts w:cstheme="minorHAnsi"/>
          <w:sz w:val="26"/>
          <w:szCs w:val="26"/>
        </w:rPr>
        <w:t xml:space="preserve"> “ricettivo” all’investimento, ma anche più “fertile e produttivo”</w:t>
      </w:r>
      <w:r w:rsidR="00DB6F3E">
        <w:rPr>
          <w:rFonts w:cstheme="minorHAnsi"/>
          <w:sz w:val="26"/>
          <w:szCs w:val="26"/>
        </w:rPr>
        <w:t>,</w:t>
      </w:r>
      <w:r w:rsidR="009D7C75">
        <w:rPr>
          <w:rFonts w:cstheme="minorHAnsi"/>
          <w:sz w:val="26"/>
          <w:szCs w:val="26"/>
        </w:rPr>
        <w:t xml:space="preserve"> allo scopo di</w:t>
      </w:r>
      <w:r w:rsidRPr="007432AC">
        <w:rPr>
          <w:rFonts w:cstheme="minorHAnsi"/>
          <w:sz w:val="26"/>
          <w:szCs w:val="26"/>
        </w:rPr>
        <w:t xml:space="preserve"> potenziare</w:t>
      </w:r>
      <w:r w:rsidR="00DB6F3E">
        <w:rPr>
          <w:rFonts w:cstheme="minorHAnsi"/>
          <w:sz w:val="26"/>
          <w:szCs w:val="26"/>
        </w:rPr>
        <w:t>,</w:t>
      </w:r>
      <w:r w:rsidR="006D3DCE">
        <w:rPr>
          <w:rFonts w:cstheme="minorHAnsi"/>
          <w:sz w:val="26"/>
          <w:szCs w:val="26"/>
        </w:rPr>
        <w:t xml:space="preserve"> quindi</w:t>
      </w:r>
      <w:r w:rsidR="00DB6F3E">
        <w:rPr>
          <w:rFonts w:cstheme="minorHAnsi"/>
          <w:sz w:val="26"/>
          <w:szCs w:val="26"/>
        </w:rPr>
        <w:t>,</w:t>
      </w:r>
      <w:r w:rsidR="006D3DCE">
        <w:rPr>
          <w:rFonts w:cstheme="minorHAnsi"/>
          <w:sz w:val="26"/>
          <w:szCs w:val="26"/>
        </w:rPr>
        <w:t xml:space="preserve"> il ritorno economico dell’investimento</w:t>
      </w:r>
      <w:r w:rsidRPr="007432AC">
        <w:rPr>
          <w:rFonts w:cstheme="minorHAnsi"/>
          <w:sz w:val="26"/>
          <w:szCs w:val="26"/>
        </w:rPr>
        <w:t xml:space="preserve"> stesso. </w:t>
      </w:r>
    </w:p>
    <w:p w14:paraId="3D1D92B3" w14:textId="77777777" w:rsidR="00CE4C9F" w:rsidRPr="007432AC" w:rsidRDefault="006D3DCE" w:rsidP="00CE4C9F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aggiunta alle infrastrutture fisiche, </w:t>
      </w:r>
      <w:r>
        <w:rPr>
          <w:rFonts w:cstheme="minorHAnsi"/>
          <w:b/>
          <w:sz w:val="26"/>
          <w:szCs w:val="26"/>
        </w:rPr>
        <w:t xml:space="preserve">assumono rilevanza anche </w:t>
      </w:r>
      <w:r w:rsidR="00CE4C9F" w:rsidRPr="00C56A6B">
        <w:rPr>
          <w:rFonts w:cstheme="minorHAnsi"/>
          <w:b/>
          <w:sz w:val="26"/>
          <w:szCs w:val="26"/>
        </w:rPr>
        <w:t xml:space="preserve">gli investimenti </w:t>
      </w:r>
      <w:r w:rsidR="001F387E">
        <w:rPr>
          <w:rFonts w:cstheme="minorHAnsi"/>
          <w:b/>
          <w:sz w:val="26"/>
          <w:szCs w:val="26"/>
        </w:rPr>
        <w:t xml:space="preserve">nella salute, e </w:t>
      </w:r>
      <w:r>
        <w:rPr>
          <w:rFonts w:cstheme="minorHAnsi"/>
          <w:b/>
          <w:sz w:val="26"/>
          <w:szCs w:val="26"/>
        </w:rPr>
        <w:t xml:space="preserve">in formazione e ricerca (cd </w:t>
      </w:r>
      <w:r w:rsidR="009D7C75">
        <w:rPr>
          <w:rFonts w:cstheme="minorHAnsi"/>
          <w:b/>
          <w:sz w:val="26"/>
          <w:szCs w:val="26"/>
        </w:rPr>
        <w:t>“</w:t>
      </w:r>
      <w:r>
        <w:rPr>
          <w:rFonts w:cstheme="minorHAnsi"/>
          <w:b/>
          <w:sz w:val="26"/>
          <w:szCs w:val="26"/>
        </w:rPr>
        <w:t>infrastrutture immateriali</w:t>
      </w:r>
      <w:r w:rsidR="009D7C75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b/>
          <w:sz w:val="26"/>
          <w:szCs w:val="26"/>
        </w:rPr>
        <w:t xml:space="preserve">) </w:t>
      </w:r>
      <w:r w:rsidRPr="006D3DCE">
        <w:rPr>
          <w:rFonts w:cstheme="minorHAnsi"/>
          <w:sz w:val="26"/>
          <w:szCs w:val="26"/>
        </w:rPr>
        <w:t>in modo da incoraggiare l’innovazione e il</w:t>
      </w:r>
      <w:r>
        <w:rPr>
          <w:rFonts w:cstheme="minorHAnsi"/>
          <w:b/>
          <w:sz w:val="26"/>
          <w:szCs w:val="26"/>
        </w:rPr>
        <w:t xml:space="preserve"> </w:t>
      </w:r>
      <w:r w:rsidRPr="007432AC">
        <w:rPr>
          <w:rFonts w:cstheme="minorHAnsi"/>
          <w:sz w:val="26"/>
          <w:szCs w:val="26"/>
        </w:rPr>
        <w:t>trasferimento di tecnologie.</w:t>
      </w:r>
    </w:p>
    <w:p w14:paraId="3291BAB0" w14:textId="77777777" w:rsidR="00860636" w:rsidRDefault="00860636" w:rsidP="00860636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D05BB2">
        <w:rPr>
          <w:rFonts w:cstheme="minorHAnsi"/>
          <w:bCs/>
          <w:sz w:val="26"/>
          <w:szCs w:val="26"/>
        </w:rPr>
        <w:t>Da notare che la strategia del Global Gateway non esaurisce l’insieme degli impegni “Team Europe” nei diversi Paesi beneficiari.</w:t>
      </w:r>
    </w:p>
    <w:p w14:paraId="1BB3CDBA" w14:textId="77777777" w:rsidR="00860636" w:rsidRPr="00C56A6B" w:rsidRDefault="00860636" w:rsidP="00CE4C9F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20416BC6" w14:textId="77777777" w:rsidR="005C4FF0" w:rsidRDefault="00806E3E" w:rsidP="00DA629D">
      <w:pPr>
        <w:spacing w:after="0" w:line="240" w:lineRule="auto"/>
        <w:jc w:val="both"/>
        <w:rPr>
          <w:rFonts w:eastAsia="Calibri" w:cstheme="minorHAnsi"/>
          <w:b/>
          <w:sz w:val="26"/>
          <w:szCs w:val="26"/>
        </w:rPr>
      </w:pPr>
      <w:r w:rsidRPr="00CB3FAC">
        <w:rPr>
          <w:rFonts w:eastAsia="Calibri" w:cstheme="minorHAnsi"/>
          <w:b/>
          <w:i/>
          <w:sz w:val="26"/>
          <w:szCs w:val="26"/>
        </w:rPr>
        <w:t>G</w:t>
      </w:r>
      <w:r w:rsidR="00CE4C9F" w:rsidRPr="00CB3FAC">
        <w:rPr>
          <w:rFonts w:eastAsia="Calibri" w:cstheme="minorHAnsi"/>
          <w:b/>
          <w:i/>
          <w:sz w:val="26"/>
          <w:szCs w:val="26"/>
        </w:rPr>
        <w:t>overnance</w:t>
      </w:r>
    </w:p>
    <w:p w14:paraId="5BE81F9A" w14:textId="4F68CA55" w:rsidR="000D5818" w:rsidRDefault="005C4FF0" w:rsidP="00DA629D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I</w:t>
      </w:r>
      <w:r w:rsidR="00CB3FAC">
        <w:rPr>
          <w:rFonts w:eastAsia="Calibri" w:cstheme="minorHAnsi"/>
          <w:sz w:val="26"/>
          <w:szCs w:val="26"/>
        </w:rPr>
        <w:t>l</w:t>
      </w:r>
      <w:r w:rsidR="00CE4C9F" w:rsidRPr="009F14BD">
        <w:rPr>
          <w:rFonts w:eastAsia="Calibri" w:cstheme="minorHAnsi"/>
          <w:sz w:val="26"/>
          <w:szCs w:val="26"/>
        </w:rPr>
        <w:t xml:space="preserve"> </w:t>
      </w:r>
      <w:r w:rsidR="00CB3FAC">
        <w:rPr>
          <w:rFonts w:eastAsia="Calibri" w:cstheme="minorHAnsi"/>
          <w:b/>
          <w:sz w:val="26"/>
          <w:szCs w:val="26"/>
        </w:rPr>
        <w:t>Global Gateway Board</w:t>
      </w:r>
      <w:r w:rsidR="00CE4C9F" w:rsidRPr="009F14BD">
        <w:rPr>
          <w:rFonts w:eastAsia="Calibri" w:cstheme="minorHAnsi"/>
          <w:b/>
          <w:sz w:val="26"/>
          <w:szCs w:val="26"/>
        </w:rPr>
        <w:t xml:space="preserve"> </w:t>
      </w:r>
      <w:r w:rsidR="00CA3A18">
        <w:rPr>
          <w:rFonts w:eastAsia="Calibri" w:cstheme="minorHAnsi"/>
          <w:sz w:val="26"/>
          <w:szCs w:val="26"/>
        </w:rPr>
        <w:t>dovrebbe fornire</w:t>
      </w:r>
      <w:r w:rsidR="00CB3FAC">
        <w:rPr>
          <w:rFonts w:eastAsia="Calibri" w:cstheme="minorHAnsi"/>
          <w:sz w:val="26"/>
          <w:szCs w:val="26"/>
        </w:rPr>
        <w:t xml:space="preserve">, con cadenza annuale, </w:t>
      </w:r>
      <w:r w:rsidR="00CB3FAC" w:rsidRPr="009F14BD">
        <w:rPr>
          <w:rFonts w:eastAsia="Calibri" w:cstheme="minorHAnsi"/>
          <w:sz w:val="26"/>
          <w:szCs w:val="26"/>
        </w:rPr>
        <w:t xml:space="preserve">la </w:t>
      </w:r>
      <w:r w:rsidR="00CB3FAC" w:rsidRPr="009F14BD">
        <w:rPr>
          <w:rFonts w:eastAsia="Calibri" w:cstheme="minorHAnsi"/>
          <w:i/>
          <w:sz w:val="26"/>
          <w:szCs w:val="26"/>
        </w:rPr>
        <w:t>guidance</w:t>
      </w:r>
      <w:r w:rsidR="00CB3FAC" w:rsidRPr="009F14BD">
        <w:rPr>
          <w:rFonts w:eastAsia="Calibri" w:cstheme="minorHAnsi"/>
          <w:sz w:val="26"/>
          <w:szCs w:val="26"/>
        </w:rPr>
        <w:t xml:space="preserve"> strategica nell’implementazione della strategia</w:t>
      </w:r>
      <w:r w:rsidR="00CB3FAC">
        <w:rPr>
          <w:rFonts w:eastAsia="Calibri" w:cstheme="minorHAnsi"/>
          <w:sz w:val="26"/>
          <w:szCs w:val="26"/>
        </w:rPr>
        <w:t xml:space="preserve">. </w:t>
      </w:r>
      <w:r w:rsidR="00CE4C9F" w:rsidRPr="009F14BD">
        <w:rPr>
          <w:rFonts w:eastAsia="Calibri" w:cstheme="minorHAnsi"/>
          <w:sz w:val="26"/>
          <w:szCs w:val="26"/>
        </w:rPr>
        <w:t xml:space="preserve">Il Board è </w:t>
      </w:r>
      <w:r w:rsidR="00CE4C9F" w:rsidRPr="009F14BD">
        <w:rPr>
          <w:rFonts w:eastAsia="Calibri" w:cstheme="minorHAnsi"/>
          <w:b/>
          <w:sz w:val="26"/>
          <w:szCs w:val="26"/>
        </w:rPr>
        <w:t>presieduto dalla Presidente della Commissione e composto dai Ministri degli Esteri degli Stati Membri</w:t>
      </w:r>
      <w:r w:rsidR="00CE4C9F" w:rsidRPr="009F14BD">
        <w:rPr>
          <w:rFonts w:eastAsia="Calibri" w:cstheme="minorHAnsi"/>
          <w:sz w:val="26"/>
          <w:szCs w:val="26"/>
        </w:rPr>
        <w:t xml:space="preserve">. È prevista la presenza dell’Alto Rappresentante per la politica estera dell’UE, mentre il Parlamento partecipa come osservatore. </w:t>
      </w:r>
    </w:p>
    <w:p w14:paraId="73113846" w14:textId="77777777" w:rsidR="000D5818" w:rsidRDefault="000D5818" w:rsidP="00DA629D">
      <w:pPr>
        <w:spacing w:after="0" w:line="240" w:lineRule="auto"/>
        <w:jc w:val="both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Il Board s</w:t>
      </w:r>
      <w:r w:rsidR="00CB3FAC">
        <w:rPr>
          <w:rFonts w:eastAsia="Calibri" w:cstheme="minorHAnsi"/>
          <w:sz w:val="26"/>
          <w:szCs w:val="26"/>
        </w:rPr>
        <w:t xml:space="preserve">i è riunito la prima volta </w:t>
      </w:r>
      <w:r w:rsidR="00CB3FAC" w:rsidRPr="009F14BD">
        <w:rPr>
          <w:rFonts w:eastAsia="Calibri" w:cstheme="minorHAnsi"/>
          <w:sz w:val="26"/>
          <w:szCs w:val="26"/>
        </w:rPr>
        <w:t>l’11 dicembre 2022</w:t>
      </w:r>
      <w:r w:rsidR="009D7C75">
        <w:rPr>
          <w:rFonts w:eastAsia="Calibri" w:cstheme="minorHAnsi"/>
          <w:sz w:val="26"/>
          <w:szCs w:val="26"/>
        </w:rPr>
        <w:t xml:space="preserve"> e ha tracciato le direttive per il lavoro condotto nel 2023</w:t>
      </w:r>
      <w:r w:rsidR="00CB3FAC">
        <w:rPr>
          <w:rFonts w:eastAsia="Calibri" w:cstheme="minorHAnsi"/>
          <w:sz w:val="26"/>
          <w:szCs w:val="26"/>
        </w:rPr>
        <w:t xml:space="preserve">. </w:t>
      </w:r>
      <w:r w:rsidRPr="000D5818">
        <w:rPr>
          <w:rFonts w:eastAsia="Calibri" w:cstheme="minorHAnsi"/>
          <w:sz w:val="26"/>
          <w:szCs w:val="26"/>
        </w:rPr>
        <w:t xml:space="preserve">La seconda riunione si dovrebbe tenere </w:t>
      </w:r>
      <w:r w:rsidR="00CA3A18">
        <w:rPr>
          <w:rFonts w:eastAsia="Calibri" w:cstheme="minorHAnsi"/>
          <w:sz w:val="26"/>
          <w:szCs w:val="26"/>
        </w:rPr>
        <w:t>entro la</w:t>
      </w:r>
      <w:r w:rsidRPr="000D5818">
        <w:rPr>
          <w:rFonts w:eastAsia="Calibri" w:cstheme="minorHAnsi"/>
          <w:sz w:val="26"/>
          <w:szCs w:val="26"/>
        </w:rPr>
        <w:t xml:space="preserve"> prima metà </w:t>
      </w:r>
      <w:r>
        <w:rPr>
          <w:rFonts w:eastAsia="Calibri" w:cstheme="minorHAnsi"/>
          <w:sz w:val="26"/>
          <w:szCs w:val="26"/>
        </w:rPr>
        <w:t xml:space="preserve">del 2024 </w:t>
      </w:r>
      <w:r w:rsidRPr="000D5818">
        <w:rPr>
          <w:rFonts w:eastAsia="Calibri" w:cstheme="minorHAnsi"/>
          <w:sz w:val="26"/>
          <w:szCs w:val="26"/>
        </w:rPr>
        <w:t>per assicurare continuità nella guida politica dell’esercizio. Si attende la calendarizzazione</w:t>
      </w:r>
      <w:r w:rsidR="009D7C75">
        <w:rPr>
          <w:rFonts w:eastAsia="Calibri" w:cstheme="minorHAnsi"/>
          <w:sz w:val="26"/>
          <w:szCs w:val="26"/>
        </w:rPr>
        <w:t xml:space="preserve"> della riunione</w:t>
      </w:r>
      <w:r w:rsidRPr="000D5818">
        <w:rPr>
          <w:rFonts w:eastAsia="Calibri" w:cstheme="minorHAnsi"/>
          <w:sz w:val="26"/>
          <w:szCs w:val="26"/>
        </w:rPr>
        <w:t xml:space="preserve"> da parte del Gabinetto della Presidente.</w:t>
      </w:r>
    </w:p>
    <w:p w14:paraId="76A8D3C1" w14:textId="77777777" w:rsidR="000D5818" w:rsidRDefault="00CE4C9F" w:rsidP="00DA629D">
      <w:pPr>
        <w:spacing w:after="0" w:line="240" w:lineRule="auto"/>
        <w:jc w:val="both"/>
        <w:rPr>
          <w:rFonts w:eastAsia="Calibri" w:cstheme="minorHAnsi"/>
          <w:bCs/>
          <w:sz w:val="26"/>
          <w:szCs w:val="26"/>
        </w:rPr>
      </w:pPr>
      <w:r w:rsidRPr="009F14BD">
        <w:rPr>
          <w:rFonts w:eastAsia="Calibri" w:cstheme="minorHAnsi"/>
          <w:sz w:val="26"/>
          <w:szCs w:val="26"/>
        </w:rPr>
        <w:t>U</w:t>
      </w:r>
      <w:r w:rsidRPr="009F14BD">
        <w:rPr>
          <w:rFonts w:eastAsia="Calibri" w:cstheme="minorHAnsi"/>
          <w:bCs/>
          <w:sz w:val="26"/>
          <w:szCs w:val="26"/>
        </w:rPr>
        <w:t xml:space="preserve">no </w:t>
      </w:r>
      <w:r w:rsidRPr="009F14BD">
        <w:rPr>
          <w:rFonts w:eastAsia="Calibri" w:cstheme="minorHAnsi"/>
          <w:b/>
          <w:bCs/>
          <w:sz w:val="26"/>
          <w:szCs w:val="26"/>
        </w:rPr>
        <w:t>Steering Board</w:t>
      </w:r>
      <w:r w:rsidRPr="009F14BD">
        <w:rPr>
          <w:rFonts w:eastAsia="Calibri" w:cstheme="minorHAnsi"/>
          <w:bCs/>
          <w:sz w:val="26"/>
          <w:szCs w:val="26"/>
        </w:rPr>
        <w:t xml:space="preserve"> interno alla Commissione </w:t>
      </w:r>
      <w:r w:rsidR="009D7C75">
        <w:rPr>
          <w:rFonts w:eastAsia="Calibri" w:cstheme="minorHAnsi"/>
          <w:bCs/>
          <w:sz w:val="26"/>
          <w:szCs w:val="26"/>
        </w:rPr>
        <w:t>supervisiona</w:t>
      </w:r>
      <w:r w:rsidRPr="009F14BD">
        <w:rPr>
          <w:rFonts w:eastAsia="Calibri" w:cstheme="minorHAnsi"/>
          <w:bCs/>
          <w:sz w:val="26"/>
          <w:szCs w:val="26"/>
        </w:rPr>
        <w:t xml:space="preserve"> l’attività operativa, mentre il </w:t>
      </w:r>
      <w:r w:rsidRPr="009F14BD">
        <w:rPr>
          <w:rFonts w:eastAsia="Calibri" w:cstheme="minorHAnsi"/>
          <w:b/>
          <w:bCs/>
          <w:sz w:val="26"/>
          <w:szCs w:val="26"/>
        </w:rPr>
        <w:t>Business Advisory Group</w:t>
      </w:r>
      <w:r w:rsidRPr="009F14BD">
        <w:rPr>
          <w:rFonts w:eastAsia="Calibri" w:cstheme="minorHAnsi"/>
          <w:bCs/>
          <w:sz w:val="26"/>
          <w:szCs w:val="26"/>
        </w:rPr>
        <w:t xml:space="preserve"> ha il compito di assicurare il coinvolgimento del settore privato</w:t>
      </w:r>
      <w:r w:rsidRPr="009F14BD">
        <w:rPr>
          <w:rStyle w:val="Rimandonotaapidipagina"/>
          <w:rFonts w:eastAsia="Calibri" w:cstheme="minorHAnsi"/>
          <w:bCs/>
          <w:sz w:val="26"/>
          <w:szCs w:val="26"/>
        </w:rPr>
        <w:footnoteReference w:id="3"/>
      </w:r>
      <w:r w:rsidRPr="009F14BD">
        <w:rPr>
          <w:rFonts w:eastAsia="Calibri" w:cstheme="minorHAnsi"/>
          <w:bCs/>
          <w:sz w:val="26"/>
          <w:szCs w:val="26"/>
        </w:rPr>
        <w:t>.</w:t>
      </w:r>
    </w:p>
    <w:p w14:paraId="06484F9F" w14:textId="77777777" w:rsidR="005C4FF0" w:rsidRDefault="00CE4C9F" w:rsidP="00DA629D">
      <w:pPr>
        <w:spacing w:after="0" w:line="240" w:lineRule="auto"/>
        <w:jc w:val="both"/>
        <w:rPr>
          <w:rFonts w:eastAsia="Calibri" w:cstheme="minorHAnsi"/>
          <w:bCs/>
          <w:sz w:val="26"/>
          <w:szCs w:val="26"/>
        </w:rPr>
      </w:pPr>
      <w:r w:rsidRPr="009F14BD">
        <w:rPr>
          <w:rFonts w:eastAsia="Calibri" w:cstheme="minorHAnsi"/>
          <w:bCs/>
          <w:sz w:val="26"/>
          <w:szCs w:val="26"/>
        </w:rPr>
        <w:lastRenderedPageBreak/>
        <w:t xml:space="preserve">Questa struttura decisionale di </w:t>
      </w:r>
      <w:r w:rsidRPr="009F14BD">
        <w:rPr>
          <w:rFonts w:eastAsia="Calibri" w:cstheme="minorHAnsi"/>
          <w:bCs/>
          <w:i/>
          <w:sz w:val="26"/>
          <w:szCs w:val="26"/>
        </w:rPr>
        <w:t>governance</w:t>
      </w:r>
      <w:r w:rsidR="000D5818">
        <w:rPr>
          <w:rFonts w:eastAsia="Calibri" w:cstheme="minorHAnsi"/>
          <w:bCs/>
          <w:sz w:val="26"/>
          <w:szCs w:val="26"/>
        </w:rPr>
        <w:t xml:space="preserve"> si affianca</w:t>
      </w:r>
      <w:r w:rsidRPr="009F14BD">
        <w:rPr>
          <w:rFonts w:eastAsia="Calibri" w:cstheme="minorHAnsi"/>
          <w:bCs/>
          <w:sz w:val="26"/>
          <w:szCs w:val="26"/>
        </w:rPr>
        <w:t xml:space="preserve"> alla tradizionale filiera consiliare (Consiglio Europeo, Consiglio Affari Esteri, Coreper) cui compete pur sempre la definizione degli indirizzi politico strategici del Global Gateway. </w:t>
      </w:r>
    </w:p>
    <w:p w14:paraId="45D09CE8" w14:textId="001A269F" w:rsidR="001E7D42" w:rsidRDefault="00DA629D" w:rsidP="00DA629D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9F14BD">
        <w:rPr>
          <w:rFonts w:cstheme="minorHAnsi"/>
          <w:b/>
          <w:sz w:val="26"/>
          <w:szCs w:val="26"/>
        </w:rPr>
        <w:t>All’interno del Consiglio dell’UE</w:t>
      </w:r>
      <w:r w:rsidRPr="009F14BD">
        <w:rPr>
          <w:rFonts w:cstheme="minorHAnsi"/>
          <w:b/>
          <w:i/>
          <w:sz w:val="26"/>
          <w:szCs w:val="26"/>
        </w:rPr>
        <w:t xml:space="preserve"> </w:t>
      </w:r>
      <w:r w:rsidRPr="009F14BD">
        <w:rPr>
          <w:rFonts w:cstheme="minorHAnsi"/>
          <w:b/>
          <w:bCs/>
          <w:sz w:val="26"/>
          <w:szCs w:val="26"/>
        </w:rPr>
        <w:t xml:space="preserve">è stato istituito ad inizio 2022 un Gruppo di Lavoro responsabile del Global Gateway, </w:t>
      </w:r>
      <w:r w:rsidRPr="009F14BD">
        <w:rPr>
          <w:rFonts w:cstheme="minorHAnsi"/>
          <w:bCs/>
          <w:sz w:val="26"/>
          <w:szCs w:val="26"/>
        </w:rPr>
        <w:t>con competenze sui dossier orizzontali</w:t>
      </w:r>
      <w:r>
        <w:rPr>
          <w:rFonts w:cstheme="minorHAnsi"/>
          <w:bCs/>
          <w:sz w:val="26"/>
          <w:szCs w:val="26"/>
        </w:rPr>
        <w:t xml:space="preserve"> </w:t>
      </w:r>
      <w:r w:rsidR="001B221E">
        <w:rPr>
          <w:rFonts w:cstheme="minorHAnsi"/>
          <w:bCs/>
          <w:sz w:val="26"/>
          <w:szCs w:val="26"/>
        </w:rPr>
        <w:t>delle relazioni esterne (</w:t>
      </w:r>
      <w:proofErr w:type="spellStart"/>
      <w:r w:rsidR="001B221E">
        <w:rPr>
          <w:rFonts w:cstheme="minorHAnsi"/>
          <w:bCs/>
          <w:sz w:val="26"/>
          <w:szCs w:val="26"/>
        </w:rPr>
        <w:t>Relex</w:t>
      </w:r>
      <w:proofErr w:type="spellEnd"/>
      <w:r w:rsidR="001B221E">
        <w:rPr>
          <w:rFonts w:cstheme="minorHAnsi"/>
          <w:bCs/>
          <w:sz w:val="26"/>
          <w:szCs w:val="26"/>
        </w:rPr>
        <w:t xml:space="preserve"> - </w:t>
      </w:r>
      <w:r w:rsidR="000D5818" w:rsidRPr="009F14BD">
        <w:rPr>
          <w:rFonts w:eastAsia="Calibri" w:cstheme="minorHAnsi"/>
          <w:bCs/>
          <w:sz w:val="26"/>
          <w:szCs w:val="26"/>
        </w:rPr>
        <w:t>Questioni Orizzontali</w:t>
      </w:r>
      <w:r w:rsidR="001B221E">
        <w:rPr>
          <w:rFonts w:cstheme="minorHAnsi"/>
          <w:bCs/>
          <w:sz w:val="26"/>
          <w:szCs w:val="26"/>
        </w:rPr>
        <w:t>)</w:t>
      </w:r>
      <w:r>
        <w:rPr>
          <w:rFonts w:cstheme="minorHAnsi"/>
          <w:bCs/>
          <w:sz w:val="26"/>
          <w:szCs w:val="26"/>
        </w:rPr>
        <w:t>.</w:t>
      </w:r>
    </w:p>
    <w:p w14:paraId="6F204B9E" w14:textId="77777777" w:rsidR="00CE4C9F" w:rsidRDefault="00CE4C9F" w:rsidP="00DA629D">
      <w:pPr>
        <w:spacing w:after="0" w:line="240" w:lineRule="auto"/>
        <w:jc w:val="both"/>
        <w:rPr>
          <w:rFonts w:eastAsia="Calibri" w:cstheme="minorHAnsi"/>
          <w:bCs/>
          <w:sz w:val="26"/>
          <w:szCs w:val="26"/>
        </w:rPr>
      </w:pPr>
      <w:r w:rsidRPr="009F14BD">
        <w:rPr>
          <w:rFonts w:eastAsia="Calibri" w:cstheme="minorHAnsi"/>
          <w:bCs/>
          <w:sz w:val="26"/>
          <w:szCs w:val="26"/>
        </w:rPr>
        <w:t xml:space="preserve">Ne consegue una strutturazione interna di comando abbastanza complessa, la cui efficacia dovrà essere verificata </w:t>
      </w:r>
      <w:r w:rsidR="00CB3FAC">
        <w:rPr>
          <w:rFonts w:eastAsia="Calibri" w:cstheme="minorHAnsi"/>
          <w:bCs/>
          <w:sz w:val="26"/>
          <w:szCs w:val="26"/>
        </w:rPr>
        <w:t>nel te</w:t>
      </w:r>
      <w:r w:rsidRPr="009F14BD">
        <w:rPr>
          <w:rFonts w:eastAsia="Calibri" w:cstheme="minorHAnsi"/>
          <w:bCs/>
          <w:sz w:val="26"/>
          <w:szCs w:val="26"/>
        </w:rPr>
        <w:t xml:space="preserve">mpo. </w:t>
      </w:r>
    </w:p>
    <w:p w14:paraId="4501D659" w14:textId="77777777" w:rsidR="009D7C75" w:rsidRDefault="009D7C75" w:rsidP="00CB3FAC">
      <w:pPr>
        <w:spacing w:after="120" w:line="240" w:lineRule="auto"/>
        <w:jc w:val="both"/>
        <w:rPr>
          <w:rFonts w:cstheme="minorHAnsi"/>
          <w:bCs/>
          <w:sz w:val="26"/>
          <w:szCs w:val="26"/>
        </w:rPr>
      </w:pPr>
    </w:p>
    <w:p w14:paraId="7288E82D" w14:textId="77777777" w:rsidR="00CB3FAC" w:rsidRPr="00DA629D" w:rsidRDefault="00CB3FAC" w:rsidP="00CB3FAC">
      <w:pPr>
        <w:spacing w:after="120" w:line="240" w:lineRule="auto"/>
        <w:jc w:val="both"/>
        <w:rPr>
          <w:rFonts w:cstheme="minorHAnsi"/>
          <w:bCs/>
          <w:i/>
          <w:noProof/>
          <w:sz w:val="26"/>
          <w:szCs w:val="26"/>
        </w:rPr>
      </w:pPr>
      <w:r>
        <w:rPr>
          <w:rFonts w:cstheme="minorHAnsi"/>
          <w:bCs/>
          <w:sz w:val="26"/>
          <w:szCs w:val="26"/>
        </w:rPr>
        <w:t>N</w:t>
      </w:r>
      <w:r w:rsidR="00CE4C9F" w:rsidRPr="009F14BD">
        <w:rPr>
          <w:rFonts w:cstheme="minorHAnsi"/>
          <w:bCs/>
          <w:sz w:val="26"/>
          <w:szCs w:val="26"/>
        </w:rPr>
        <w:t>el corso del 2023</w:t>
      </w:r>
      <w:r>
        <w:rPr>
          <w:rFonts w:cstheme="minorHAnsi"/>
          <w:bCs/>
          <w:sz w:val="26"/>
          <w:szCs w:val="26"/>
        </w:rPr>
        <w:t>, d</w:t>
      </w:r>
      <w:r w:rsidRPr="009F14BD">
        <w:rPr>
          <w:rFonts w:cstheme="minorHAnsi"/>
          <w:bCs/>
          <w:sz w:val="26"/>
          <w:szCs w:val="26"/>
        </w:rPr>
        <w:t xml:space="preserve">efinita l’architettura gestionale, </w:t>
      </w:r>
      <w:r w:rsidR="00CE4C9F" w:rsidRPr="009F14BD">
        <w:rPr>
          <w:rFonts w:cstheme="minorHAnsi"/>
          <w:bCs/>
          <w:sz w:val="26"/>
          <w:szCs w:val="26"/>
        </w:rPr>
        <w:t xml:space="preserve">si è passati alla fase di </w:t>
      </w:r>
      <w:r w:rsidR="00CE4C9F" w:rsidRPr="00860636">
        <w:rPr>
          <w:rFonts w:cstheme="minorHAnsi"/>
          <w:b/>
          <w:bCs/>
          <w:i/>
          <w:sz w:val="26"/>
          <w:szCs w:val="26"/>
        </w:rPr>
        <w:t>attuazione</w:t>
      </w:r>
      <w:r w:rsidR="00CE4C9F" w:rsidRPr="009F14BD">
        <w:rPr>
          <w:rFonts w:cstheme="minorHAnsi"/>
          <w:bCs/>
          <w:sz w:val="26"/>
          <w:szCs w:val="26"/>
        </w:rPr>
        <w:t xml:space="preserve"> e di </w:t>
      </w:r>
      <w:r w:rsidR="00CE4C9F" w:rsidRPr="00DA629D">
        <w:rPr>
          <w:rFonts w:cstheme="minorHAnsi"/>
          <w:b/>
          <w:bCs/>
          <w:i/>
          <w:sz w:val="26"/>
          <w:szCs w:val="26"/>
        </w:rPr>
        <w:t>comunicazione esterna.</w:t>
      </w:r>
      <w:r w:rsidR="00CE4C9F" w:rsidRPr="00DA629D">
        <w:rPr>
          <w:rFonts w:cstheme="minorHAnsi"/>
          <w:bCs/>
          <w:i/>
          <w:sz w:val="26"/>
          <w:szCs w:val="26"/>
        </w:rPr>
        <w:t xml:space="preserve"> </w:t>
      </w:r>
    </w:p>
    <w:p w14:paraId="093FEA02" w14:textId="77777777" w:rsidR="00CE4C9F" w:rsidRDefault="00CE4C9F" w:rsidP="00CB3FAC">
      <w:pPr>
        <w:spacing w:after="12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9F14BD">
        <w:rPr>
          <w:rFonts w:cstheme="minorHAnsi"/>
          <w:b/>
          <w:bCs/>
          <w:noProof/>
          <w:sz w:val="26"/>
          <w:szCs w:val="26"/>
        </w:rPr>
        <w:t>La Commissione ha predisposto un elenco di progetti già esistenti (Master Table) individuati come potenzialmente rientranti nel Global Gateway</w:t>
      </w:r>
      <w:r w:rsidRPr="009F14BD">
        <w:rPr>
          <w:rFonts w:cstheme="minorHAnsi"/>
          <w:bCs/>
          <w:noProof/>
          <w:sz w:val="26"/>
          <w:szCs w:val="26"/>
        </w:rPr>
        <w:t xml:space="preserve">, per sottoporli agli Stati membri e ai privati al fine di rafforzarli ed ampliarli. A partire da questa lista </w:t>
      </w:r>
      <w:r w:rsidR="003C0745">
        <w:rPr>
          <w:rFonts w:cstheme="minorHAnsi"/>
          <w:bCs/>
          <w:noProof/>
          <w:sz w:val="26"/>
          <w:szCs w:val="26"/>
        </w:rPr>
        <w:t>sono state individuate circa 90</w:t>
      </w:r>
      <w:r w:rsidRPr="009F14BD">
        <w:rPr>
          <w:rFonts w:cstheme="minorHAnsi"/>
          <w:bCs/>
          <w:noProof/>
          <w:sz w:val="26"/>
          <w:szCs w:val="26"/>
        </w:rPr>
        <w:t xml:space="preserve"> iniziative che </w:t>
      </w:r>
      <w:r w:rsidR="004321F0">
        <w:rPr>
          <w:rFonts w:cstheme="minorHAnsi"/>
          <w:bCs/>
          <w:noProof/>
          <w:sz w:val="26"/>
          <w:szCs w:val="26"/>
        </w:rPr>
        <w:t>hanno raggiunto</w:t>
      </w:r>
      <w:r w:rsidRPr="009F14BD">
        <w:rPr>
          <w:rFonts w:cstheme="minorHAnsi"/>
          <w:bCs/>
          <w:noProof/>
          <w:sz w:val="26"/>
          <w:szCs w:val="26"/>
        </w:rPr>
        <w:t xml:space="preserve"> nel 2023 un certo grado di maturità (“</w:t>
      </w:r>
      <w:r w:rsidRPr="009F14BD">
        <w:rPr>
          <w:rFonts w:cstheme="minorHAnsi"/>
          <w:b/>
          <w:bCs/>
          <w:noProof/>
          <w:sz w:val="26"/>
          <w:szCs w:val="26"/>
        </w:rPr>
        <w:t>progetti faro” o “Flagship</w:t>
      </w:r>
      <w:r w:rsidRPr="009F14BD">
        <w:rPr>
          <w:rFonts w:cstheme="minorHAnsi"/>
          <w:bCs/>
          <w:noProof/>
          <w:sz w:val="26"/>
          <w:szCs w:val="26"/>
        </w:rPr>
        <w:t>”), su cui impostare l’azione di comunicaz</w:t>
      </w:r>
      <w:r w:rsidR="00CB3FAC">
        <w:rPr>
          <w:rFonts w:cstheme="minorHAnsi"/>
          <w:bCs/>
          <w:noProof/>
          <w:sz w:val="26"/>
          <w:szCs w:val="26"/>
        </w:rPr>
        <w:t>ione e valorizzazione presso i P</w:t>
      </w:r>
      <w:r w:rsidRPr="009F14BD">
        <w:rPr>
          <w:rFonts w:cstheme="minorHAnsi"/>
          <w:bCs/>
          <w:noProof/>
          <w:sz w:val="26"/>
          <w:szCs w:val="26"/>
        </w:rPr>
        <w:t>aesi partner</w:t>
      </w:r>
      <w:r w:rsidR="00DA629D">
        <w:rPr>
          <w:rFonts w:cstheme="minorHAnsi"/>
          <w:bCs/>
          <w:noProof/>
          <w:sz w:val="26"/>
          <w:szCs w:val="26"/>
        </w:rPr>
        <w:t>. A fine 2023 è</w:t>
      </w:r>
      <w:r w:rsidR="00CB3FAC">
        <w:rPr>
          <w:rFonts w:cstheme="minorHAnsi"/>
          <w:bCs/>
          <w:noProof/>
          <w:sz w:val="26"/>
          <w:szCs w:val="26"/>
        </w:rPr>
        <w:t xml:space="preserve"> </w:t>
      </w:r>
      <w:r w:rsidR="004321F0">
        <w:rPr>
          <w:rFonts w:cstheme="minorHAnsi"/>
          <w:bCs/>
          <w:noProof/>
          <w:sz w:val="26"/>
          <w:szCs w:val="26"/>
        </w:rPr>
        <w:t>sta</w:t>
      </w:r>
      <w:r w:rsidR="001B221E">
        <w:rPr>
          <w:rFonts w:cstheme="minorHAnsi"/>
          <w:bCs/>
          <w:noProof/>
          <w:sz w:val="26"/>
          <w:szCs w:val="26"/>
        </w:rPr>
        <w:t>ta approvata la lista di altr</w:t>
      </w:r>
      <w:r w:rsidR="003C0745">
        <w:rPr>
          <w:rFonts w:cstheme="minorHAnsi"/>
          <w:bCs/>
          <w:noProof/>
          <w:sz w:val="26"/>
          <w:szCs w:val="26"/>
        </w:rPr>
        <w:t>i 140</w:t>
      </w:r>
      <w:r w:rsidRPr="009F14BD">
        <w:rPr>
          <w:rFonts w:cstheme="minorHAnsi"/>
          <w:bCs/>
          <w:noProof/>
          <w:sz w:val="26"/>
          <w:szCs w:val="26"/>
        </w:rPr>
        <w:t xml:space="preserve"> “progetti faro” per il 2024.</w:t>
      </w:r>
      <w:r w:rsidR="009A72A6">
        <w:rPr>
          <w:rFonts w:cstheme="minorHAnsi"/>
          <w:bCs/>
          <w:noProof/>
          <w:sz w:val="26"/>
          <w:szCs w:val="26"/>
        </w:rPr>
        <w:t xml:space="preserve"> </w:t>
      </w:r>
      <w:r w:rsidRPr="009F14BD">
        <w:rPr>
          <w:rFonts w:cstheme="minorHAnsi"/>
          <w:bCs/>
          <w:noProof/>
          <w:sz w:val="26"/>
          <w:szCs w:val="26"/>
        </w:rPr>
        <w:t xml:space="preserve">La </w:t>
      </w:r>
      <w:r w:rsidRPr="00CB3FAC">
        <w:rPr>
          <w:rFonts w:cstheme="minorHAnsi"/>
          <w:b/>
          <w:bCs/>
          <w:noProof/>
          <w:sz w:val="26"/>
          <w:szCs w:val="26"/>
        </w:rPr>
        <w:t>strategia di comunicazione</w:t>
      </w:r>
      <w:r w:rsidRPr="009F14BD">
        <w:rPr>
          <w:rFonts w:cstheme="minorHAnsi"/>
          <w:bCs/>
          <w:noProof/>
          <w:sz w:val="26"/>
          <w:szCs w:val="26"/>
        </w:rPr>
        <w:t>, in corso di perfezionamento, si articolerà attorno a due direttrici: una comunicazione di tipo politico, imperniata su occasioni quali Fora ad alto livello, eventi di elevato profilo e missioni congiunte; l’altra, caratterizzata da campagne indirizzate a audience non specialistiche, soprattutto giovani, nei paesi Partner e in Europa.</w:t>
      </w:r>
    </w:p>
    <w:p w14:paraId="7400F251" w14:textId="77777777" w:rsidR="005B0B33" w:rsidRDefault="00071548" w:rsidP="00510BE3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Cs/>
          <w:noProof/>
          <w:sz w:val="26"/>
          <w:szCs w:val="26"/>
        </w:rPr>
        <w:t xml:space="preserve">Si è </w:t>
      </w:r>
      <w:r w:rsidR="004321F0">
        <w:rPr>
          <w:rFonts w:cstheme="minorHAnsi"/>
          <w:bCs/>
          <w:noProof/>
          <w:sz w:val="26"/>
          <w:szCs w:val="26"/>
        </w:rPr>
        <w:t xml:space="preserve">tenuto a Bruxelles il </w:t>
      </w:r>
      <w:r>
        <w:rPr>
          <w:rFonts w:cstheme="minorHAnsi"/>
          <w:bCs/>
          <w:noProof/>
          <w:sz w:val="26"/>
          <w:szCs w:val="26"/>
        </w:rPr>
        <w:t>25 e 26 ottobre</w:t>
      </w:r>
      <w:r w:rsidR="004321F0">
        <w:rPr>
          <w:rFonts w:cstheme="minorHAnsi"/>
          <w:bCs/>
          <w:noProof/>
          <w:sz w:val="26"/>
          <w:szCs w:val="26"/>
        </w:rPr>
        <w:t xml:space="preserve"> 2023</w:t>
      </w:r>
      <w:r>
        <w:rPr>
          <w:rFonts w:cstheme="minorHAnsi"/>
          <w:bCs/>
          <w:noProof/>
          <w:sz w:val="26"/>
          <w:szCs w:val="26"/>
        </w:rPr>
        <w:t xml:space="preserve"> il primo </w:t>
      </w:r>
      <w:r w:rsidRPr="00CB5725">
        <w:rPr>
          <w:rFonts w:cstheme="minorHAnsi"/>
          <w:b/>
          <w:bCs/>
          <w:noProof/>
          <w:sz w:val="26"/>
          <w:szCs w:val="26"/>
        </w:rPr>
        <w:t>Forum ad Alto Livello sul Global Gateway</w:t>
      </w:r>
      <w:r>
        <w:rPr>
          <w:rFonts w:cstheme="minorHAnsi"/>
          <w:bCs/>
          <w:noProof/>
          <w:sz w:val="26"/>
          <w:szCs w:val="26"/>
        </w:rPr>
        <w:t>, su invito della Presidente della Commissione, che ne ha aperto i lavori in presenza di circa 40 delegazioni (tra SM e Partners) a livello politico</w:t>
      </w:r>
      <w:r w:rsidR="001B221E">
        <w:rPr>
          <w:rFonts w:cstheme="minorHAnsi"/>
          <w:bCs/>
          <w:noProof/>
          <w:sz w:val="26"/>
          <w:szCs w:val="26"/>
        </w:rPr>
        <w:t xml:space="preserve">, in formato </w:t>
      </w:r>
      <w:r w:rsidR="001B221E" w:rsidRPr="009D7C75">
        <w:rPr>
          <w:rFonts w:cstheme="minorHAnsi"/>
          <w:bCs/>
          <w:i/>
          <w:noProof/>
          <w:sz w:val="26"/>
          <w:szCs w:val="26"/>
        </w:rPr>
        <w:t>Business to Government</w:t>
      </w:r>
      <w:r w:rsidRPr="009D7C75">
        <w:rPr>
          <w:rFonts w:cstheme="minorHAnsi"/>
          <w:bCs/>
          <w:i/>
          <w:noProof/>
          <w:sz w:val="26"/>
          <w:szCs w:val="26"/>
        </w:rPr>
        <w:t>.</w:t>
      </w:r>
      <w:r>
        <w:rPr>
          <w:rFonts w:cstheme="minorHAnsi"/>
          <w:bCs/>
          <w:noProof/>
          <w:sz w:val="26"/>
          <w:szCs w:val="26"/>
        </w:rPr>
        <w:t xml:space="preserve"> </w:t>
      </w:r>
      <w:r w:rsidRPr="005B0B33">
        <w:rPr>
          <w:rFonts w:cstheme="minorHAnsi"/>
          <w:b/>
          <w:bCs/>
          <w:noProof/>
          <w:sz w:val="26"/>
          <w:szCs w:val="26"/>
        </w:rPr>
        <w:t>Il VPdC e MAE è intervenuto alla Sessione plenaria di chiusura.</w:t>
      </w:r>
      <w:r w:rsidR="00510BE3" w:rsidRPr="005B0B33">
        <w:rPr>
          <w:b/>
          <w:noProof/>
        </w:rPr>
        <w:t xml:space="preserve"> </w:t>
      </w:r>
      <w:r w:rsidR="00510BE3" w:rsidRPr="005B0B33">
        <w:rPr>
          <w:rFonts w:cstheme="minorHAnsi"/>
          <w:b/>
          <w:bCs/>
          <w:noProof/>
          <w:sz w:val="26"/>
          <w:szCs w:val="26"/>
        </w:rPr>
        <w:t>L’intervento dell’Italia era particolarmente atteso, in considerazione del ruol</w:t>
      </w:r>
      <w:r w:rsidR="00DA629D">
        <w:rPr>
          <w:rFonts w:cstheme="minorHAnsi"/>
          <w:b/>
          <w:bCs/>
          <w:noProof/>
          <w:sz w:val="26"/>
          <w:szCs w:val="26"/>
        </w:rPr>
        <w:t xml:space="preserve">o di “ponte” del nostro Paese </w:t>
      </w:r>
      <w:r w:rsidR="001B221E">
        <w:rPr>
          <w:rFonts w:cstheme="minorHAnsi"/>
          <w:b/>
          <w:bCs/>
          <w:noProof/>
          <w:sz w:val="26"/>
          <w:szCs w:val="26"/>
        </w:rPr>
        <w:t>e considerata l’</w:t>
      </w:r>
      <w:r w:rsidR="00DA629D">
        <w:rPr>
          <w:rFonts w:cstheme="minorHAnsi"/>
          <w:b/>
          <w:bCs/>
          <w:noProof/>
          <w:sz w:val="26"/>
          <w:szCs w:val="26"/>
        </w:rPr>
        <w:t xml:space="preserve">assunzione </w:t>
      </w:r>
      <w:r w:rsidR="00510BE3" w:rsidRPr="005B0B33">
        <w:rPr>
          <w:rFonts w:cstheme="minorHAnsi"/>
          <w:b/>
          <w:bCs/>
          <w:noProof/>
          <w:sz w:val="26"/>
          <w:szCs w:val="26"/>
        </w:rPr>
        <w:t>della Presidenza del G7</w:t>
      </w:r>
      <w:r w:rsidR="004321F0">
        <w:rPr>
          <w:rFonts w:cstheme="minorHAnsi"/>
          <w:b/>
          <w:bCs/>
          <w:noProof/>
          <w:sz w:val="26"/>
          <w:szCs w:val="26"/>
        </w:rPr>
        <w:t xml:space="preserve"> 2024</w:t>
      </w:r>
      <w:r w:rsidR="00510BE3" w:rsidRPr="005B0B33">
        <w:rPr>
          <w:rFonts w:cstheme="minorHAnsi"/>
          <w:b/>
          <w:bCs/>
          <w:sz w:val="26"/>
          <w:szCs w:val="26"/>
        </w:rPr>
        <w:t>.</w:t>
      </w:r>
    </w:p>
    <w:p w14:paraId="635CF1FA" w14:textId="77777777" w:rsidR="00071548" w:rsidRDefault="00510BE3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5B0B33">
        <w:rPr>
          <w:rFonts w:cstheme="minorHAnsi"/>
          <w:b/>
          <w:bCs/>
          <w:noProof/>
          <w:sz w:val="26"/>
          <w:szCs w:val="26"/>
        </w:rPr>
        <w:t xml:space="preserve"> L’On.le Ministro ha confermato il sostegno dell’Italia all’esercizio</w:t>
      </w:r>
      <w:r w:rsidRPr="00510BE3">
        <w:rPr>
          <w:rFonts w:cstheme="minorHAnsi"/>
          <w:bCs/>
          <w:noProof/>
          <w:sz w:val="26"/>
          <w:szCs w:val="26"/>
        </w:rPr>
        <w:t>,</w:t>
      </w:r>
      <w:r w:rsidR="005B0B33">
        <w:rPr>
          <w:rFonts w:cstheme="minorHAnsi"/>
          <w:bCs/>
          <w:noProof/>
          <w:sz w:val="26"/>
          <w:szCs w:val="26"/>
        </w:rPr>
        <w:t xml:space="preserve"> e ne ha sottolineato la specificità per </w:t>
      </w:r>
      <w:r w:rsidR="005B0B33" w:rsidRPr="005B0B33">
        <w:rPr>
          <w:rFonts w:cstheme="minorHAnsi"/>
          <w:b/>
          <w:bCs/>
          <w:noProof/>
          <w:sz w:val="26"/>
          <w:szCs w:val="26"/>
        </w:rPr>
        <w:t>il rilievo in esso attribuito al ruolo degli operatori privati</w:t>
      </w:r>
      <w:r w:rsidR="005B0B33">
        <w:rPr>
          <w:rFonts w:cstheme="minorHAnsi"/>
          <w:bCs/>
          <w:noProof/>
          <w:sz w:val="26"/>
          <w:szCs w:val="26"/>
        </w:rPr>
        <w:t xml:space="preserve">. </w:t>
      </w:r>
      <w:r w:rsidRPr="00510BE3">
        <w:rPr>
          <w:rFonts w:cstheme="minorHAnsi"/>
          <w:bCs/>
          <w:noProof/>
          <w:sz w:val="26"/>
          <w:szCs w:val="26"/>
        </w:rPr>
        <w:t xml:space="preserve"> </w:t>
      </w:r>
      <w:r w:rsidR="005B0B33">
        <w:rPr>
          <w:rFonts w:cstheme="minorHAnsi"/>
          <w:bCs/>
          <w:noProof/>
          <w:sz w:val="26"/>
          <w:szCs w:val="26"/>
        </w:rPr>
        <w:t xml:space="preserve">Egli ha valorizzato inoltre </w:t>
      </w:r>
      <w:r w:rsidRPr="00510BE3">
        <w:rPr>
          <w:rFonts w:cstheme="minorHAnsi"/>
          <w:bCs/>
          <w:noProof/>
          <w:sz w:val="26"/>
          <w:szCs w:val="26"/>
        </w:rPr>
        <w:t xml:space="preserve">le </w:t>
      </w:r>
      <w:r w:rsidRPr="005B0B33">
        <w:rPr>
          <w:rFonts w:cstheme="minorHAnsi"/>
          <w:b/>
          <w:bCs/>
          <w:noProof/>
          <w:sz w:val="26"/>
          <w:szCs w:val="26"/>
        </w:rPr>
        <w:t>prospettive</w:t>
      </w:r>
      <w:r w:rsidR="005B0B33" w:rsidRPr="005B0B33">
        <w:rPr>
          <w:rFonts w:cstheme="minorHAnsi"/>
          <w:b/>
          <w:bCs/>
          <w:noProof/>
          <w:sz w:val="26"/>
          <w:szCs w:val="26"/>
        </w:rPr>
        <w:t xml:space="preserve"> del Global Gateway </w:t>
      </w:r>
      <w:r w:rsidRPr="005B0B33">
        <w:rPr>
          <w:rFonts w:cstheme="minorHAnsi"/>
          <w:b/>
          <w:bCs/>
          <w:noProof/>
          <w:sz w:val="26"/>
          <w:szCs w:val="26"/>
        </w:rPr>
        <w:t>sia in termini di sviluppo di infrastrutture fisiche</w:t>
      </w:r>
      <w:r w:rsidR="004321F0">
        <w:rPr>
          <w:rFonts w:cstheme="minorHAnsi"/>
          <w:b/>
          <w:bCs/>
          <w:noProof/>
          <w:sz w:val="26"/>
          <w:szCs w:val="26"/>
        </w:rPr>
        <w:t xml:space="preserve"> (per la doppia transizione ecologica e digitale, e per i trasporti)</w:t>
      </w:r>
      <w:r w:rsidRPr="005B0B33">
        <w:rPr>
          <w:rFonts w:cstheme="minorHAnsi"/>
          <w:b/>
          <w:bCs/>
          <w:noProof/>
          <w:sz w:val="26"/>
          <w:szCs w:val="26"/>
        </w:rPr>
        <w:t xml:space="preserve"> che sotto il profilo delle infrastrutture immateriali</w:t>
      </w:r>
      <w:r w:rsidR="005E7E00">
        <w:rPr>
          <w:rFonts w:cstheme="minorHAnsi"/>
          <w:b/>
          <w:bCs/>
          <w:noProof/>
          <w:sz w:val="26"/>
          <w:szCs w:val="26"/>
        </w:rPr>
        <w:t xml:space="preserve"> (</w:t>
      </w:r>
      <w:r w:rsidR="005B0B33">
        <w:rPr>
          <w:rFonts w:cstheme="minorHAnsi"/>
          <w:b/>
          <w:bCs/>
          <w:noProof/>
          <w:sz w:val="26"/>
          <w:szCs w:val="26"/>
        </w:rPr>
        <w:t>formazione e ricerca</w:t>
      </w:r>
      <w:r w:rsidR="005E7E00">
        <w:rPr>
          <w:rFonts w:cstheme="minorHAnsi"/>
          <w:b/>
          <w:bCs/>
          <w:noProof/>
          <w:sz w:val="26"/>
          <w:szCs w:val="26"/>
        </w:rPr>
        <w:t>; salute</w:t>
      </w:r>
      <w:r w:rsidR="005B0B33">
        <w:rPr>
          <w:rFonts w:cstheme="minorHAnsi"/>
          <w:b/>
          <w:bCs/>
          <w:noProof/>
          <w:sz w:val="26"/>
          <w:szCs w:val="26"/>
        </w:rPr>
        <w:t>)</w:t>
      </w:r>
      <w:r w:rsidRPr="00510BE3">
        <w:rPr>
          <w:rFonts w:cstheme="minorHAnsi"/>
          <w:bCs/>
          <w:noProof/>
          <w:sz w:val="26"/>
          <w:szCs w:val="26"/>
        </w:rPr>
        <w:t>, in chiave di investimento di medio periodo</w:t>
      </w:r>
      <w:r w:rsidR="004321F0">
        <w:rPr>
          <w:rFonts w:cstheme="minorHAnsi"/>
          <w:bCs/>
          <w:noProof/>
          <w:sz w:val="26"/>
          <w:szCs w:val="26"/>
        </w:rPr>
        <w:t>,</w:t>
      </w:r>
      <w:r w:rsidRPr="00510BE3">
        <w:rPr>
          <w:rFonts w:cstheme="minorHAnsi"/>
          <w:bCs/>
          <w:noProof/>
          <w:sz w:val="26"/>
          <w:szCs w:val="26"/>
        </w:rPr>
        <w:t xml:space="preserve"> su un piano di parità</w:t>
      </w:r>
      <w:r w:rsidR="004321F0">
        <w:rPr>
          <w:rFonts w:cstheme="minorHAnsi"/>
          <w:bCs/>
          <w:noProof/>
          <w:sz w:val="26"/>
          <w:szCs w:val="26"/>
        </w:rPr>
        <w:t>,</w:t>
      </w:r>
      <w:r w:rsidRPr="00510BE3">
        <w:rPr>
          <w:rFonts w:cstheme="minorHAnsi"/>
          <w:bCs/>
          <w:noProof/>
          <w:sz w:val="26"/>
          <w:szCs w:val="26"/>
        </w:rPr>
        <w:t xml:space="preserve"> per incrementare la connettività</w:t>
      </w:r>
      <w:r w:rsidR="004321F0">
        <w:rPr>
          <w:rFonts w:cstheme="minorHAnsi"/>
          <w:bCs/>
          <w:noProof/>
          <w:sz w:val="26"/>
          <w:szCs w:val="26"/>
        </w:rPr>
        <w:t xml:space="preserve"> dell’UE</w:t>
      </w:r>
      <w:r w:rsidRPr="00510BE3">
        <w:rPr>
          <w:rFonts w:cstheme="minorHAnsi"/>
          <w:bCs/>
          <w:noProof/>
          <w:sz w:val="26"/>
          <w:szCs w:val="26"/>
        </w:rPr>
        <w:t xml:space="preserve"> con i Paesi Partner.</w:t>
      </w:r>
    </w:p>
    <w:p w14:paraId="7FBBFB07" w14:textId="77777777" w:rsidR="001B221E" w:rsidRDefault="00D029B0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CA3A18">
        <w:rPr>
          <w:rFonts w:cstheme="minorHAnsi"/>
          <w:bCs/>
          <w:noProof/>
          <w:sz w:val="26"/>
          <w:szCs w:val="26"/>
        </w:rPr>
        <w:t xml:space="preserve">Quanto precede, ha </w:t>
      </w:r>
      <w:r w:rsidR="00CA3A18">
        <w:rPr>
          <w:rFonts w:cstheme="minorHAnsi"/>
          <w:bCs/>
          <w:noProof/>
          <w:sz w:val="26"/>
          <w:szCs w:val="26"/>
        </w:rPr>
        <w:t xml:space="preserve">avuto modo di rimarcare in quella occasione </w:t>
      </w:r>
      <w:r w:rsidRPr="00CA3A18">
        <w:rPr>
          <w:rFonts w:cstheme="minorHAnsi"/>
          <w:bCs/>
          <w:noProof/>
          <w:sz w:val="26"/>
          <w:szCs w:val="26"/>
        </w:rPr>
        <w:t>l'On. le Ministro, è in forte coerenza con le priorità dell'agenda del G7 a Presidenza italiana</w:t>
      </w:r>
      <w:r w:rsidR="00CA3A18">
        <w:rPr>
          <w:rFonts w:cstheme="minorHAnsi"/>
          <w:bCs/>
          <w:noProof/>
          <w:sz w:val="26"/>
          <w:szCs w:val="26"/>
        </w:rPr>
        <w:t>. P</w:t>
      </w:r>
      <w:r w:rsidRPr="00CA3A18">
        <w:rPr>
          <w:rFonts w:cstheme="minorHAnsi"/>
          <w:bCs/>
          <w:noProof/>
          <w:sz w:val="26"/>
          <w:szCs w:val="26"/>
        </w:rPr>
        <w:t xml:space="preserve">rosegue </w:t>
      </w:r>
      <w:r w:rsidR="005E7E00">
        <w:rPr>
          <w:rFonts w:cstheme="minorHAnsi"/>
          <w:bCs/>
          <w:noProof/>
          <w:sz w:val="26"/>
          <w:szCs w:val="26"/>
        </w:rPr>
        <w:t xml:space="preserve">infatti </w:t>
      </w:r>
      <w:r w:rsidRPr="00CA3A18">
        <w:rPr>
          <w:rFonts w:cstheme="minorHAnsi"/>
          <w:bCs/>
          <w:noProof/>
          <w:sz w:val="26"/>
          <w:szCs w:val="26"/>
        </w:rPr>
        <w:t xml:space="preserve">il lavoro </w:t>
      </w:r>
      <w:r w:rsidR="00860636" w:rsidRPr="00CA3A18">
        <w:rPr>
          <w:rFonts w:cstheme="minorHAnsi"/>
          <w:bCs/>
          <w:noProof/>
          <w:sz w:val="26"/>
          <w:szCs w:val="26"/>
        </w:rPr>
        <w:t>(promosso dalle precedenti</w:t>
      </w:r>
      <w:r w:rsidRPr="00CA3A18">
        <w:rPr>
          <w:rFonts w:cstheme="minorHAnsi"/>
          <w:bCs/>
          <w:noProof/>
          <w:sz w:val="26"/>
          <w:szCs w:val="26"/>
        </w:rPr>
        <w:t xml:space="preserve"> Presidenze tedesca e giapponese</w:t>
      </w:r>
      <w:r w:rsidR="00860636" w:rsidRPr="00CA3A18">
        <w:rPr>
          <w:rFonts w:cstheme="minorHAnsi"/>
          <w:bCs/>
          <w:noProof/>
          <w:sz w:val="26"/>
          <w:szCs w:val="26"/>
        </w:rPr>
        <w:t>)</w:t>
      </w:r>
      <w:r w:rsidR="005E7E00">
        <w:rPr>
          <w:rFonts w:cstheme="minorHAnsi"/>
          <w:bCs/>
          <w:noProof/>
          <w:sz w:val="26"/>
          <w:szCs w:val="26"/>
        </w:rPr>
        <w:t xml:space="preserve"> anche</w:t>
      </w:r>
      <w:r w:rsidRPr="00CA3A18">
        <w:rPr>
          <w:rFonts w:cstheme="minorHAnsi"/>
          <w:bCs/>
          <w:noProof/>
          <w:sz w:val="26"/>
          <w:szCs w:val="26"/>
        </w:rPr>
        <w:t xml:space="preserve"> nel "</w:t>
      </w:r>
      <w:r w:rsidRPr="00CA3A18">
        <w:rPr>
          <w:rFonts w:cstheme="minorHAnsi"/>
          <w:bCs/>
          <w:i/>
          <w:noProof/>
          <w:sz w:val="26"/>
          <w:szCs w:val="26"/>
        </w:rPr>
        <w:t>track sviluppo</w:t>
      </w:r>
      <w:r w:rsidRPr="00CA3A18">
        <w:rPr>
          <w:rFonts w:cstheme="minorHAnsi"/>
          <w:bCs/>
          <w:noProof/>
          <w:sz w:val="26"/>
          <w:szCs w:val="26"/>
        </w:rPr>
        <w:t>"</w:t>
      </w:r>
      <w:r w:rsidR="005E7E00">
        <w:rPr>
          <w:rFonts w:cstheme="minorHAnsi"/>
          <w:bCs/>
          <w:noProof/>
          <w:sz w:val="26"/>
          <w:szCs w:val="26"/>
        </w:rPr>
        <w:t xml:space="preserve"> del G7</w:t>
      </w:r>
      <w:r w:rsidRPr="00CA3A18">
        <w:rPr>
          <w:rFonts w:cstheme="minorHAnsi"/>
          <w:bCs/>
          <w:noProof/>
          <w:sz w:val="26"/>
          <w:szCs w:val="26"/>
        </w:rPr>
        <w:t xml:space="preserve"> per colmare il "gap" di risorse per gli investimenti infrastrutturali nei Paesi Partner (Gruppo di lavoro sulla </w:t>
      </w:r>
      <w:r w:rsidRPr="00CA3A18">
        <w:rPr>
          <w:rFonts w:cstheme="minorHAnsi"/>
          <w:bCs/>
          <w:i/>
          <w:noProof/>
          <w:sz w:val="26"/>
          <w:szCs w:val="26"/>
        </w:rPr>
        <w:t>Partnership for Global Infrastructure Investment</w:t>
      </w:r>
      <w:r w:rsidRPr="00CA3A18">
        <w:rPr>
          <w:rFonts w:cstheme="minorHAnsi"/>
          <w:bCs/>
          <w:noProof/>
          <w:sz w:val="26"/>
          <w:szCs w:val="26"/>
        </w:rPr>
        <w:t xml:space="preserve"> all’interno del </w:t>
      </w:r>
      <w:r w:rsidRPr="00CA3A18">
        <w:rPr>
          <w:rFonts w:cstheme="minorHAnsi"/>
          <w:bCs/>
          <w:i/>
          <w:noProof/>
          <w:sz w:val="26"/>
          <w:szCs w:val="26"/>
        </w:rPr>
        <w:t>G7</w:t>
      </w:r>
      <w:r w:rsidR="00860636" w:rsidRPr="00CA3A18">
        <w:rPr>
          <w:rFonts w:cstheme="minorHAnsi"/>
          <w:bCs/>
          <w:i/>
          <w:noProof/>
          <w:sz w:val="26"/>
          <w:szCs w:val="26"/>
        </w:rPr>
        <w:t xml:space="preserve"> development track</w:t>
      </w:r>
      <w:r w:rsidRPr="00CA3A18">
        <w:rPr>
          <w:rFonts w:cstheme="minorHAnsi"/>
          <w:bCs/>
          <w:noProof/>
          <w:sz w:val="26"/>
          <w:szCs w:val="26"/>
        </w:rPr>
        <w:t>).</w:t>
      </w:r>
    </w:p>
    <w:p w14:paraId="699A3B5E" w14:textId="77777777" w:rsidR="009A72A6" w:rsidRDefault="009A72A6" w:rsidP="008F796F">
      <w:pPr>
        <w:spacing w:after="0" w:line="240" w:lineRule="auto"/>
        <w:jc w:val="both"/>
        <w:rPr>
          <w:rFonts w:cstheme="minorHAnsi"/>
          <w:b/>
          <w:bCs/>
          <w:i/>
          <w:noProof/>
          <w:sz w:val="26"/>
          <w:szCs w:val="26"/>
        </w:rPr>
      </w:pPr>
    </w:p>
    <w:p w14:paraId="077D3FFD" w14:textId="77777777" w:rsidR="005C4FF0" w:rsidRDefault="005C4FF0" w:rsidP="008F796F">
      <w:pPr>
        <w:spacing w:after="0" w:line="240" w:lineRule="auto"/>
        <w:jc w:val="both"/>
        <w:rPr>
          <w:rFonts w:cstheme="minorHAnsi"/>
          <w:b/>
          <w:bCs/>
          <w:i/>
          <w:noProof/>
          <w:sz w:val="26"/>
          <w:szCs w:val="26"/>
        </w:rPr>
      </w:pPr>
    </w:p>
    <w:p w14:paraId="5A1362B9" w14:textId="77777777" w:rsidR="005C4FF0" w:rsidRDefault="005C4FF0" w:rsidP="008F796F">
      <w:pPr>
        <w:spacing w:after="0" w:line="240" w:lineRule="auto"/>
        <w:jc w:val="both"/>
        <w:rPr>
          <w:rFonts w:cstheme="minorHAnsi"/>
          <w:b/>
          <w:bCs/>
          <w:i/>
          <w:noProof/>
          <w:sz w:val="26"/>
          <w:szCs w:val="26"/>
        </w:rPr>
      </w:pPr>
    </w:p>
    <w:p w14:paraId="339EB01A" w14:textId="6B0C833B" w:rsidR="005C4FF0" w:rsidRDefault="00860636" w:rsidP="008F796F">
      <w:pPr>
        <w:spacing w:after="0" w:line="240" w:lineRule="auto"/>
        <w:jc w:val="both"/>
        <w:rPr>
          <w:rFonts w:cstheme="minorHAnsi"/>
          <w:b/>
          <w:bCs/>
          <w:i/>
          <w:noProof/>
          <w:sz w:val="26"/>
          <w:szCs w:val="26"/>
        </w:rPr>
      </w:pPr>
      <w:r w:rsidRPr="00860636">
        <w:rPr>
          <w:rFonts w:cstheme="minorHAnsi"/>
          <w:b/>
          <w:bCs/>
          <w:i/>
          <w:noProof/>
          <w:sz w:val="26"/>
          <w:szCs w:val="26"/>
        </w:rPr>
        <w:t>Operatività geografica</w:t>
      </w:r>
      <w:r w:rsidR="005E7E00">
        <w:rPr>
          <w:rFonts w:cstheme="minorHAnsi"/>
          <w:b/>
          <w:bCs/>
          <w:i/>
          <w:noProof/>
          <w:sz w:val="26"/>
          <w:szCs w:val="26"/>
        </w:rPr>
        <w:t xml:space="preserve"> e tematica</w:t>
      </w:r>
    </w:p>
    <w:p w14:paraId="5CE480DB" w14:textId="5C7B4530" w:rsidR="000D5818" w:rsidRDefault="005C4FF0" w:rsidP="008F796F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>
        <w:rPr>
          <w:rFonts w:cstheme="minorHAnsi"/>
          <w:bCs/>
          <w:noProof/>
          <w:sz w:val="26"/>
          <w:szCs w:val="26"/>
        </w:rPr>
        <w:t>N</w:t>
      </w:r>
      <w:r w:rsidR="001B221E" w:rsidRPr="001B221E">
        <w:rPr>
          <w:rFonts w:cstheme="minorHAnsi"/>
          <w:bCs/>
          <w:noProof/>
          <w:sz w:val="26"/>
          <w:szCs w:val="26"/>
        </w:rPr>
        <w:t>ella prospettiva italiana, particolare attenzione va riservata all'</w:t>
      </w:r>
      <w:r w:rsidR="001B221E" w:rsidRPr="00860636">
        <w:rPr>
          <w:rFonts w:cstheme="minorHAnsi"/>
          <w:b/>
          <w:bCs/>
          <w:noProof/>
          <w:sz w:val="26"/>
          <w:szCs w:val="26"/>
        </w:rPr>
        <w:t>Africa</w:t>
      </w:r>
      <w:r w:rsidR="00860636">
        <w:rPr>
          <w:rFonts w:cstheme="minorHAnsi"/>
          <w:bCs/>
          <w:noProof/>
          <w:sz w:val="26"/>
          <w:szCs w:val="26"/>
        </w:rPr>
        <w:t>. In occasione del ricordato Forum ad Alto livello del Global Gateway dell’ottobre 2023, l</w:t>
      </w:r>
      <w:r w:rsidR="001B221E" w:rsidRPr="001B221E">
        <w:rPr>
          <w:rFonts w:cstheme="minorHAnsi"/>
          <w:bCs/>
          <w:noProof/>
          <w:sz w:val="26"/>
          <w:szCs w:val="26"/>
        </w:rPr>
        <w:t xml:space="preserve">a visione di un partenariato paritario è stata dall'On.le Ministro ulteriormente sviluppata proprio con riguardo al rapporto con i Paesi africani, ricordando l'impegno italiano per un "Piano d'azione" </w:t>
      </w:r>
      <w:r w:rsidR="0069467A">
        <w:rPr>
          <w:rFonts w:cstheme="minorHAnsi"/>
          <w:bCs/>
          <w:noProof/>
          <w:sz w:val="26"/>
          <w:szCs w:val="26"/>
        </w:rPr>
        <w:t>(il Piano Mattei) da collegare</w:t>
      </w:r>
      <w:r w:rsidR="005E7E00">
        <w:rPr>
          <w:rFonts w:cstheme="minorHAnsi"/>
          <w:bCs/>
          <w:noProof/>
          <w:sz w:val="26"/>
          <w:szCs w:val="26"/>
        </w:rPr>
        <w:t xml:space="preserve"> anche a</w:t>
      </w:r>
      <w:r w:rsidR="001B221E" w:rsidRPr="001B221E">
        <w:rPr>
          <w:rFonts w:cstheme="minorHAnsi"/>
          <w:bCs/>
          <w:noProof/>
          <w:sz w:val="26"/>
          <w:szCs w:val="26"/>
        </w:rPr>
        <w:t xml:space="preserve"> una più ampia cornice europea.</w:t>
      </w:r>
      <w:r w:rsidR="001B221E">
        <w:rPr>
          <w:rFonts w:cstheme="minorHAnsi"/>
          <w:bCs/>
          <w:noProof/>
          <w:sz w:val="26"/>
          <w:szCs w:val="26"/>
        </w:rPr>
        <w:t xml:space="preserve"> </w:t>
      </w:r>
    </w:p>
    <w:p w14:paraId="45302720" w14:textId="77777777" w:rsidR="000D5818" w:rsidRDefault="00D029B0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D029B0">
        <w:rPr>
          <w:rFonts w:cstheme="minorHAnsi"/>
          <w:bCs/>
          <w:sz w:val="26"/>
          <w:szCs w:val="26"/>
        </w:rPr>
        <w:t xml:space="preserve">Lo scorso 29 e 30 gennaio si </w:t>
      </w:r>
      <w:r w:rsidRPr="00D029B0">
        <w:rPr>
          <w:rFonts w:cstheme="minorHAnsi"/>
          <w:bCs/>
          <w:noProof/>
          <w:sz w:val="26"/>
          <w:szCs w:val="26"/>
        </w:rPr>
        <w:t xml:space="preserve">è tenuto a Bruxelles il primo </w:t>
      </w:r>
      <w:r w:rsidR="004D3551" w:rsidRPr="004D3551">
        <w:rPr>
          <w:rFonts w:cstheme="minorHAnsi"/>
          <w:bCs/>
          <w:i/>
          <w:noProof/>
          <w:sz w:val="26"/>
          <w:szCs w:val="26"/>
          <w:u w:val="single"/>
        </w:rPr>
        <w:t>Global Gateway Investors Forum for EU - Central Asia Transport Connectivity</w:t>
      </w:r>
      <w:r w:rsidR="004D3551" w:rsidRPr="004D3551">
        <w:rPr>
          <w:rFonts w:cstheme="minorHAnsi"/>
          <w:bCs/>
          <w:i/>
          <w:noProof/>
          <w:sz w:val="26"/>
          <w:szCs w:val="26"/>
        </w:rPr>
        <w:t xml:space="preserve"> </w:t>
      </w:r>
      <w:r w:rsidRPr="00D029B0">
        <w:rPr>
          <w:rFonts w:cstheme="minorHAnsi"/>
          <w:bCs/>
          <w:noProof/>
          <w:sz w:val="26"/>
          <w:szCs w:val="26"/>
        </w:rPr>
        <w:t>dedicato a uno specifico ambito di operatività del Global Gateway (</w:t>
      </w:r>
      <w:r w:rsidRPr="00860636">
        <w:rPr>
          <w:rFonts w:cstheme="minorHAnsi"/>
          <w:b/>
          <w:bCs/>
          <w:noProof/>
          <w:sz w:val="26"/>
          <w:szCs w:val="26"/>
        </w:rPr>
        <w:t>trasporti e infrastrutture fisiche di connettività</w:t>
      </w:r>
      <w:r w:rsidRPr="00D029B0">
        <w:rPr>
          <w:rFonts w:cstheme="minorHAnsi"/>
          <w:bCs/>
          <w:noProof/>
          <w:sz w:val="26"/>
          <w:szCs w:val="26"/>
        </w:rPr>
        <w:t xml:space="preserve">) a beneficio </w:t>
      </w:r>
      <w:r w:rsidRPr="00217FF0">
        <w:rPr>
          <w:rFonts w:cstheme="minorHAnsi"/>
          <w:bCs/>
          <w:noProof/>
          <w:sz w:val="26"/>
          <w:szCs w:val="26"/>
        </w:rPr>
        <w:t>dei cinque Paesi Partner dell’Asia Centrale</w:t>
      </w:r>
      <w:r w:rsidRPr="00D029B0">
        <w:rPr>
          <w:rFonts w:cstheme="minorHAnsi"/>
          <w:bCs/>
          <w:noProof/>
          <w:sz w:val="26"/>
          <w:szCs w:val="26"/>
        </w:rPr>
        <w:t xml:space="preserve"> (tutti rappresentati a livello politico), con l’obiettivo di riunire, sempre in formato </w:t>
      </w:r>
      <w:r w:rsidRPr="00860636">
        <w:rPr>
          <w:rFonts w:cstheme="minorHAnsi"/>
          <w:bCs/>
          <w:i/>
          <w:noProof/>
          <w:sz w:val="26"/>
          <w:szCs w:val="26"/>
        </w:rPr>
        <w:t>Business to Government</w:t>
      </w:r>
      <w:r w:rsidRPr="00D029B0">
        <w:rPr>
          <w:rFonts w:cstheme="minorHAnsi"/>
          <w:bCs/>
          <w:noProof/>
          <w:sz w:val="26"/>
          <w:szCs w:val="26"/>
        </w:rPr>
        <w:t xml:space="preserve">, </w:t>
      </w:r>
      <w:r w:rsidR="005E7E00">
        <w:rPr>
          <w:rFonts w:cstheme="minorHAnsi"/>
          <w:bCs/>
          <w:noProof/>
          <w:sz w:val="26"/>
          <w:szCs w:val="26"/>
        </w:rPr>
        <w:t>i</w:t>
      </w:r>
      <w:r w:rsidRPr="00D029B0">
        <w:rPr>
          <w:rFonts w:cstheme="minorHAnsi"/>
          <w:bCs/>
          <w:noProof/>
          <w:sz w:val="26"/>
          <w:szCs w:val="26"/>
        </w:rPr>
        <w:t xml:space="preserve"> portatori di interesse con riguardo ai programmi di attuazione del Corridoio Trans – caspico. Il grosso degli SM UE era rappresentato a livello tecnico e con delegazioni di operatori economici (per l’Italia erano presenti Cassa Depositi e Prestiti e il Gruppo Ferrovie dello Stato).</w:t>
      </w:r>
    </w:p>
    <w:p w14:paraId="6359E119" w14:textId="4917D814" w:rsidR="005E7E00" w:rsidRPr="003B7E52" w:rsidRDefault="00A30099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>
        <w:rPr>
          <w:rFonts w:cstheme="minorHAnsi"/>
          <w:bCs/>
          <w:noProof/>
          <w:sz w:val="26"/>
          <w:szCs w:val="26"/>
        </w:rPr>
        <w:t xml:space="preserve">Il prossimo 11 aprile si terrà a Bruxelles, su invito congiunto della Commissaria Partenariati Internazionali (IntPa) e della Presidenza di turno </w:t>
      </w:r>
      <w:r w:rsidR="003B7E52">
        <w:rPr>
          <w:rFonts w:cstheme="minorHAnsi"/>
          <w:bCs/>
          <w:noProof/>
          <w:sz w:val="26"/>
          <w:szCs w:val="26"/>
        </w:rPr>
        <w:t>belga</w:t>
      </w:r>
      <w:r w:rsidR="0069467A">
        <w:rPr>
          <w:rFonts w:cstheme="minorHAnsi"/>
          <w:bCs/>
          <w:noProof/>
          <w:sz w:val="26"/>
          <w:szCs w:val="26"/>
        </w:rPr>
        <w:t xml:space="preserve"> (Min. della Cooperazione internazionale)</w:t>
      </w:r>
      <w:r w:rsidR="003B7E52">
        <w:rPr>
          <w:rFonts w:cstheme="minorHAnsi"/>
          <w:bCs/>
          <w:noProof/>
          <w:sz w:val="26"/>
          <w:szCs w:val="26"/>
        </w:rPr>
        <w:t xml:space="preserve">, il primo </w:t>
      </w:r>
      <w:r w:rsidR="003B7E52" w:rsidRPr="00CF32BF">
        <w:rPr>
          <w:rFonts w:cstheme="minorHAnsi"/>
          <w:bCs/>
          <w:i/>
          <w:noProof/>
          <w:sz w:val="26"/>
          <w:szCs w:val="26"/>
          <w:u w:val="single"/>
        </w:rPr>
        <w:t>Global Gateway High-Level Event on Education</w:t>
      </w:r>
      <w:r w:rsidR="003B7E52">
        <w:rPr>
          <w:rFonts w:cstheme="minorHAnsi"/>
          <w:bCs/>
          <w:i/>
          <w:noProof/>
          <w:sz w:val="26"/>
          <w:szCs w:val="26"/>
        </w:rPr>
        <w:t xml:space="preserve"> </w:t>
      </w:r>
      <w:r w:rsidR="003B7E52">
        <w:rPr>
          <w:rFonts w:cstheme="minorHAnsi"/>
          <w:bCs/>
          <w:noProof/>
          <w:sz w:val="26"/>
          <w:szCs w:val="26"/>
        </w:rPr>
        <w:t>per promuovere, con la partecipazione di esponenti politici e del mondo della scuola, delle università e delle aziende, la conoscenza dell’impegno UE</w:t>
      </w:r>
      <w:r w:rsidR="00CF32BF">
        <w:rPr>
          <w:rFonts w:cstheme="minorHAnsi"/>
          <w:bCs/>
          <w:noProof/>
          <w:sz w:val="26"/>
          <w:szCs w:val="26"/>
        </w:rPr>
        <w:t xml:space="preserve"> sul fronte educativo</w:t>
      </w:r>
      <w:r w:rsidR="003B7E52">
        <w:rPr>
          <w:rFonts w:cstheme="minorHAnsi"/>
          <w:bCs/>
          <w:noProof/>
          <w:sz w:val="26"/>
          <w:szCs w:val="26"/>
        </w:rPr>
        <w:t xml:space="preserve"> </w:t>
      </w:r>
      <w:r w:rsidR="00CF32BF">
        <w:rPr>
          <w:rFonts w:cstheme="minorHAnsi"/>
          <w:bCs/>
          <w:noProof/>
          <w:sz w:val="26"/>
          <w:szCs w:val="26"/>
        </w:rPr>
        <w:t xml:space="preserve">per un </w:t>
      </w:r>
      <w:r w:rsidR="003B7E52">
        <w:rPr>
          <w:rFonts w:cstheme="minorHAnsi"/>
          <w:bCs/>
          <w:noProof/>
          <w:sz w:val="26"/>
          <w:szCs w:val="26"/>
        </w:rPr>
        <w:t xml:space="preserve">progressivo superamento dei dislivelli </w:t>
      </w:r>
      <w:r w:rsidR="00CF32BF">
        <w:rPr>
          <w:rFonts w:cstheme="minorHAnsi"/>
          <w:bCs/>
          <w:noProof/>
          <w:sz w:val="26"/>
          <w:szCs w:val="26"/>
        </w:rPr>
        <w:t>formativi</w:t>
      </w:r>
      <w:r w:rsidR="003B7E52">
        <w:rPr>
          <w:rFonts w:cstheme="minorHAnsi"/>
          <w:bCs/>
          <w:noProof/>
          <w:sz w:val="26"/>
          <w:szCs w:val="26"/>
        </w:rPr>
        <w:t xml:space="preserve"> nel mondo. E ciò proprio attraverso i </w:t>
      </w:r>
      <w:r w:rsidR="00CF32BF">
        <w:rPr>
          <w:rFonts w:cstheme="minorHAnsi"/>
          <w:bCs/>
          <w:noProof/>
          <w:sz w:val="26"/>
          <w:szCs w:val="26"/>
        </w:rPr>
        <w:t>P</w:t>
      </w:r>
      <w:r w:rsidR="003B7E52">
        <w:rPr>
          <w:rFonts w:cstheme="minorHAnsi"/>
          <w:bCs/>
          <w:noProof/>
          <w:sz w:val="26"/>
          <w:szCs w:val="26"/>
        </w:rPr>
        <w:t xml:space="preserve">artenariati internazionali </w:t>
      </w:r>
      <w:r w:rsidR="00CF32BF">
        <w:rPr>
          <w:rFonts w:cstheme="minorHAnsi"/>
          <w:bCs/>
          <w:noProof/>
          <w:sz w:val="26"/>
          <w:szCs w:val="26"/>
        </w:rPr>
        <w:t>sviluppati dall’Unione e q</w:t>
      </w:r>
      <w:r w:rsidR="003B7E52">
        <w:rPr>
          <w:rFonts w:cstheme="minorHAnsi"/>
          <w:bCs/>
          <w:noProof/>
          <w:sz w:val="26"/>
          <w:szCs w:val="26"/>
        </w:rPr>
        <w:t xml:space="preserve">uindi anche </w:t>
      </w:r>
      <w:r w:rsidR="00CF32BF">
        <w:rPr>
          <w:rFonts w:cstheme="minorHAnsi"/>
          <w:bCs/>
          <w:noProof/>
          <w:sz w:val="26"/>
          <w:szCs w:val="26"/>
        </w:rPr>
        <w:t>nella cornice della strategia</w:t>
      </w:r>
      <w:r w:rsidR="003B7E52">
        <w:rPr>
          <w:rFonts w:cstheme="minorHAnsi"/>
          <w:bCs/>
          <w:noProof/>
          <w:sz w:val="26"/>
          <w:szCs w:val="26"/>
        </w:rPr>
        <w:t xml:space="preserve"> del </w:t>
      </w:r>
      <w:r w:rsidR="003B7E52" w:rsidRPr="003B7E52">
        <w:rPr>
          <w:rFonts w:cstheme="minorHAnsi"/>
          <w:bCs/>
          <w:i/>
          <w:noProof/>
          <w:sz w:val="26"/>
          <w:szCs w:val="26"/>
        </w:rPr>
        <w:t>Global Gateway</w:t>
      </w:r>
      <w:r w:rsidR="00CF32BF">
        <w:rPr>
          <w:rFonts w:cstheme="minorHAnsi"/>
          <w:bCs/>
          <w:noProof/>
          <w:sz w:val="26"/>
          <w:szCs w:val="26"/>
        </w:rPr>
        <w:t>. Il livello di partecipazione degli Stati membri è in via di definizione.</w:t>
      </w:r>
    </w:p>
    <w:p w14:paraId="0A1D5A32" w14:textId="77777777" w:rsidR="00A27A3E" w:rsidRDefault="00A27A3E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</w:p>
    <w:p w14:paraId="6F3DE2ED" w14:textId="77777777" w:rsidR="005C4FF0" w:rsidRDefault="00911987" w:rsidP="00A27A3E">
      <w:pPr>
        <w:spacing w:after="0" w:line="240" w:lineRule="auto"/>
        <w:jc w:val="both"/>
        <w:rPr>
          <w:rFonts w:cstheme="minorHAnsi"/>
          <w:b/>
          <w:bCs/>
          <w:i/>
          <w:noProof/>
          <w:sz w:val="26"/>
          <w:szCs w:val="26"/>
        </w:rPr>
      </w:pPr>
      <w:r w:rsidRPr="00911987">
        <w:rPr>
          <w:rFonts w:cstheme="minorHAnsi"/>
          <w:b/>
          <w:bCs/>
          <w:i/>
          <w:noProof/>
          <w:sz w:val="26"/>
          <w:szCs w:val="26"/>
        </w:rPr>
        <w:t>Impegno nazionale sul Global Gateway</w:t>
      </w:r>
    </w:p>
    <w:p w14:paraId="2319E909" w14:textId="30CC2F33" w:rsidR="00A27A3E" w:rsidRDefault="005C4FF0" w:rsidP="00A27A3E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>
        <w:rPr>
          <w:rFonts w:cstheme="minorHAnsi"/>
          <w:bCs/>
          <w:noProof/>
          <w:sz w:val="26"/>
          <w:szCs w:val="26"/>
        </w:rPr>
        <w:t>L</w:t>
      </w:r>
      <w:r w:rsidR="00A27A3E">
        <w:rPr>
          <w:rFonts w:cstheme="minorHAnsi"/>
          <w:bCs/>
          <w:noProof/>
          <w:sz w:val="26"/>
          <w:szCs w:val="26"/>
        </w:rPr>
        <w:t xml:space="preserve">’Italia, consapevole </w:t>
      </w:r>
      <w:r w:rsidR="00A27A3E" w:rsidRPr="009F14BD">
        <w:rPr>
          <w:rFonts w:cstheme="minorHAnsi"/>
          <w:bCs/>
          <w:noProof/>
          <w:sz w:val="26"/>
          <w:szCs w:val="26"/>
        </w:rPr>
        <w:t xml:space="preserve">dell’importanza cruciale del coinvolgimento del settore privato in attività di investimento e realizzazione di progetti concreti </w:t>
      </w:r>
      <w:r w:rsidR="00CF32BF">
        <w:rPr>
          <w:rFonts w:cstheme="minorHAnsi"/>
          <w:bCs/>
          <w:noProof/>
          <w:sz w:val="26"/>
          <w:szCs w:val="26"/>
        </w:rPr>
        <w:t>nella cornice</w:t>
      </w:r>
      <w:r w:rsidR="00A27A3E" w:rsidRPr="009F14BD">
        <w:rPr>
          <w:rFonts w:cstheme="minorHAnsi"/>
          <w:bCs/>
          <w:noProof/>
          <w:sz w:val="26"/>
          <w:szCs w:val="26"/>
        </w:rPr>
        <w:t xml:space="preserve"> del Global Gateway, </w:t>
      </w:r>
      <w:r w:rsidR="00A27A3E">
        <w:rPr>
          <w:rFonts w:cstheme="minorHAnsi"/>
          <w:bCs/>
          <w:noProof/>
          <w:sz w:val="26"/>
          <w:szCs w:val="26"/>
        </w:rPr>
        <w:t>promuove</w:t>
      </w:r>
      <w:r w:rsidR="009A72A6">
        <w:rPr>
          <w:rFonts w:cstheme="minorHAnsi"/>
          <w:bCs/>
          <w:noProof/>
          <w:sz w:val="26"/>
          <w:szCs w:val="26"/>
        </w:rPr>
        <w:t xml:space="preserve">, in questa fase di avvio dell’attuazione della Strategia, </w:t>
      </w:r>
      <w:r w:rsidR="00A27A3E">
        <w:rPr>
          <w:rFonts w:cstheme="minorHAnsi"/>
          <w:bCs/>
          <w:noProof/>
          <w:sz w:val="26"/>
          <w:szCs w:val="26"/>
        </w:rPr>
        <w:t>la disseminazione delle informazioni tra gli operatori economici</w:t>
      </w:r>
      <w:r w:rsidR="009A72A6">
        <w:rPr>
          <w:rFonts w:cstheme="minorHAnsi"/>
          <w:bCs/>
          <w:noProof/>
          <w:sz w:val="26"/>
          <w:szCs w:val="26"/>
        </w:rPr>
        <w:t>, sia sotto il profilo delle priorità geopolitiche dell’UE in termini di infrastrutture di connettività, che per quanto attiene ai profili e ai requisiti più squisitamente tecnici per l’accesso alle opportunità offerte dalla Strategia stessa</w:t>
      </w:r>
      <w:r w:rsidR="00A27A3E" w:rsidRPr="009F14BD">
        <w:rPr>
          <w:rFonts w:cstheme="minorHAnsi"/>
          <w:bCs/>
          <w:noProof/>
          <w:sz w:val="26"/>
          <w:szCs w:val="26"/>
        </w:rPr>
        <w:t xml:space="preserve">. </w:t>
      </w:r>
    </w:p>
    <w:p w14:paraId="340DD2F1" w14:textId="77777777" w:rsidR="008A41BC" w:rsidRPr="009F14BD" w:rsidRDefault="008A41BC" w:rsidP="00A27A3E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>
        <w:rPr>
          <w:rFonts w:cstheme="minorHAnsi"/>
          <w:bCs/>
          <w:noProof/>
          <w:sz w:val="26"/>
          <w:szCs w:val="26"/>
        </w:rPr>
        <w:t>A livello UE è incoraggiata la partecipazione delle aziende italiane ai Business Fora UE/Paese Partner e alle Missioni “di sistema” organizzate a vari livelli dalla Direzione Partenariati Internazionali della Commissione.</w:t>
      </w:r>
    </w:p>
    <w:p w14:paraId="116224C5" w14:textId="77777777" w:rsidR="00A27A3E" w:rsidRDefault="00D029B0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D029B0">
        <w:rPr>
          <w:rFonts w:cstheme="minorHAnsi"/>
          <w:bCs/>
          <w:noProof/>
          <w:sz w:val="26"/>
          <w:szCs w:val="26"/>
        </w:rPr>
        <w:t xml:space="preserve">A livello nazionale, </w:t>
      </w:r>
      <w:r w:rsidR="009A72A6">
        <w:rPr>
          <w:rFonts w:cstheme="minorHAnsi"/>
          <w:bCs/>
          <w:noProof/>
          <w:sz w:val="26"/>
          <w:szCs w:val="26"/>
        </w:rPr>
        <w:t>si intensifica</w:t>
      </w:r>
      <w:r w:rsidRPr="00D029B0">
        <w:rPr>
          <w:rFonts w:cstheme="minorHAnsi"/>
          <w:bCs/>
          <w:noProof/>
          <w:sz w:val="26"/>
          <w:szCs w:val="26"/>
        </w:rPr>
        <w:t xml:space="preserve"> l’impegno per </w:t>
      </w:r>
      <w:r w:rsidR="00911987">
        <w:rPr>
          <w:rFonts w:cstheme="minorHAnsi"/>
          <w:bCs/>
          <w:noProof/>
          <w:sz w:val="26"/>
          <w:szCs w:val="26"/>
        </w:rPr>
        <w:t>diffondere</w:t>
      </w:r>
      <w:r w:rsidRPr="00D029B0">
        <w:rPr>
          <w:rFonts w:cstheme="minorHAnsi"/>
          <w:bCs/>
          <w:noProof/>
          <w:sz w:val="26"/>
          <w:szCs w:val="26"/>
        </w:rPr>
        <w:t xml:space="preserve"> una più profonda conoscenza della Strategia tra gli operatori economici nazionali, alcuni dei quali (ENEL; TI Sparkle; Ferrovie dello Stato; GETRA Group) sono rappresentati nel</w:t>
      </w:r>
      <w:r w:rsidR="00911987">
        <w:rPr>
          <w:rFonts w:cstheme="minorHAnsi"/>
          <w:bCs/>
          <w:noProof/>
          <w:sz w:val="26"/>
          <w:szCs w:val="26"/>
        </w:rPr>
        <w:t xml:space="preserve"> ricordato</w:t>
      </w:r>
      <w:r w:rsidRPr="00D029B0">
        <w:rPr>
          <w:rFonts w:cstheme="minorHAnsi"/>
          <w:bCs/>
          <w:noProof/>
          <w:sz w:val="26"/>
          <w:szCs w:val="26"/>
        </w:rPr>
        <w:t xml:space="preserve"> Gruppo Consultivo (</w:t>
      </w:r>
      <w:r w:rsidR="009A72A6">
        <w:rPr>
          <w:rFonts w:cstheme="minorHAnsi"/>
          <w:bCs/>
          <w:i/>
          <w:noProof/>
          <w:sz w:val="26"/>
          <w:szCs w:val="26"/>
        </w:rPr>
        <w:t xml:space="preserve">Global Gateway </w:t>
      </w:r>
      <w:r w:rsidRPr="00A27A3E">
        <w:rPr>
          <w:rFonts w:cstheme="minorHAnsi"/>
          <w:bCs/>
          <w:i/>
          <w:noProof/>
          <w:sz w:val="26"/>
          <w:szCs w:val="26"/>
        </w:rPr>
        <w:t>Business Advisory Group</w:t>
      </w:r>
      <w:r w:rsidRPr="00D029B0">
        <w:rPr>
          <w:rFonts w:cstheme="minorHAnsi"/>
          <w:bCs/>
          <w:noProof/>
          <w:sz w:val="26"/>
          <w:szCs w:val="26"/>
        </w:rPr>
        <w:t xml:space="preserve"> della Commissione) che costituisce uno dei pilastri della Struttura di </w:t>
      </w:r>
      <w:r w:rsidR="00911987">
        <w:rPr>
          <w:rFonts w:cstheme="minorHAnsi"/>
          <w:bCs/>
          <w:i/>
          <w:noProof/>
          <w:sz w:val="26"/>
          <w:szCs w:val="26"/>
        </w:rPr>
        <w:t>g</w:t>
      </w:r>
      <w:r w:rsidRPr="00911987">
        <w:rPr>
          <w:rFonts w:cstheme="minorHAnsi"/>
          <w:bCs/>
          <w:i/>
          <w:noProof/>
          <w:sz w:val="26"/>
          <w:szCs w:val="26"/>
        </w:rPr>
        <w:t>overnance</w:t>
      </w:r>
      <w:r w:rsidRPr="00D029B0">
        <w:rPr>
          <w:rFonts w:cstheme="minorHAnsi"/>
          <w:bCs/>
          <w:noProof/>
          <w:sz w:val="26"/>
          <w:szCs w:val="26"/>
        </w:rPr>
        <w:t xml:space="preserve"> del Global Gateway. </w:t>
      </w:r>
    </w:p>
    <w:p w14:paraId="7D295C66" w14:textId="77777777" w:rsidR="00A30099" w:rsidRPr="009A72A6" w:rsidRDefault="00D029B0" w:rsidP="00510BE3">
      <w:pPr>
        <w:spacing w:after="0" w:line="240" w:lineRule="auto"/>
        <w:jc w:val="both"/>
        <w:rPr>
          <w:rFonts w:cstheme="minorHAnsi"/>
          <w:bCs/>
          <w:noProof/>
          <w:sz w:val="26"/>
          <w:szCs w:val="26"/>
        </w:rPr>
      </w:pPr>
      <w:r w:rsidRPr="00D029B0">
        <w:rPr>
          <w:rFonts w:cstheme="minorHAnsi"/>
          <w:bCs/>
          <w:noProof/>
          <w:sz w:val="26"/>
          <w:szCs w:val="26"/>
        </w:rPr>
        <w:t xml:space="preserve">In tale prospettiva sono state organizzate dalla DGUE, d’intesa con DGCS e DGSP, alcune riunioni di coordinamento a livello tecnico con i rappresentanti delle diverse componenti del Sistema Italia (CDP; SACE; ICE; Confindustria </w:t>
      </w:r>
      <w:r w:rsidR="009A72A6">
        <w:rPr>
          <w:rFonts w:cstheme="minorHAnsi"/>
          <w:bCs/>
          <w:noProof/>
          <w:sz w:val="26"/>
          <w:szCs w:val="26"/>
        </w:rPr>
        <w:t xml:space="preserve">e </w:t>
      </w:r>
      <w:r w:rsidRPr="00D029B0">
        <w:rPr>
          <w:rFonts w:cstheme="minorHAnsi"/>
          <w:bCs/>
          <w:noProof/>
          <w:sz w:val="26"/>
          <w:szCs w:val="26"/>
        </w:rPr>
        <w:t>Organizzazioni di categoria maggiormente rappresentative)</w:t>
      </w:r>
      <w:r w:rsidR="009A72A6">
        <w:rPr>
          <w:rFonts w:cstheme="minorHAnsi"/>
          <w:bCs/>
          <w:noProof/>
          <w:sz w:val="26"/>
          <w:szCs w:val="26"/>
        </w:rPr>
        <w:t>,</w:t>
      </w:r>
      <w:r w:rsidRPr="00D029B0">
        <w:rPr>
          <w:rFonts w:cstheme="minorHAnsi"/>
          <w:bCs/>
          <w:noProof/>
          <w:sz w:val="26"/>
          <w:szCs w:val="26"/>
        </w:rPr>
        <w:t xml:space="preserve"> con l’obiettivo di tenere </w:t>
      </w:r>
      <w:r w:rsidR="00A27A3E">
        <w:rPr>
          <w:rFonts w:cstheme="minorHAnsi"/>
          <w:bCs/>
          <w:noProof/>
          <w:sz w:val="26"/>
          <w:szCs w:val="26"/>
        </w:rPr>
        <w:t xml:space="preserve">presso il MAECI a Roma </w:t>
      </w:r>
      <w:r w:rsidR="009A72A6">
        <w:rPr>
          <w:rFonts w:cstheme="minorHAnsi"/>
          <w:bCs/>
          <w:noProof/>
          <w:sz w:val="26"/>
          <w:szCs w:val="26"/>
        </w:rPr>
        <w:t>nella tarda</w:t>
      </w:r>
      <w:r w:rsidRPr="00D029B0">
        <w:rPr>
          <w:rFonts w:cstheme="minorHAnsi"/>
          <w:bCs/>
          <w:noProof/>
          <w:sz w:val="26"/>
          <w:szCs w:val="26"/>
        </w:rPr>
        <w:t xml:space="preserve"> primavera </w:t>
      </w:r>
      <w:r w:rsidR="00A27A3E" w:rsidRPr="009F14BD">
        <w:rPr>
          <w:rFonts w:cstheme="minorHAnsi"/>
          <w:bCs/>
          <w:noProof/>
          <w:sz w:val="26"/>
          <w:szCs w:val="26"/>
        </w:rPr>
        <w:t xml:space="preserve">- in cooperazione con la Direzione Partenariati Internazionali della Commissione </w:t>
      </w:r>
      <w:r w:rsidR="00A27A3E">
        <w:rPr>
          <w:rFonts w:cstheme="minorHAnsi"/>
          <w:bCs/>
          <w:noProof/>
          <w:sz w:val="26"/>
          <w:szCs w:val="26"/>
        </w:rPr>
        <w:t>-</w:t>
      </w:r>
      <w:r w:rsidR="00A27A3E" w:rsidRPr="009F14BD">
        <w:rPr>
          <w:rFonts w:cstheme="minorHAnsi"/>
          <w:bCs/>
          <w:noProof/>
          <w:sz w:val="26"/>
          <w:szCs w:val="26"/>
        </w:rPr>
        <w:t xml:space="preserve"> </w:t>
      </w:r>
      <w:r w:rsidRPr="00D029B0">
        <w:rPr>
          <w:rFonts w:cstheme="minorHAnsi"/>
          <w:bCs/>
          <w:noProof/>
          <w:sz w:val="26"/>
          <w:szCs w:val="26"/>
        </w:rPr>
        <w:t xml:space="preserve">un primo seminario nazionale sul Global Gateway UE dedicato alle opportunità che la Strategia può </w:t>
      </w:r>
      <w:r w:rsidRPr="00D029B0">
        <w:rPr>
          <w:rFonts w:cstheme="minorHAnsi"/>
          <w:bCs/>
          <w:noProof/>
          <w:sz w:val="26"/>
          <w:szCs w:val="26"/>
        </w:rPr>
        <w:lastRenderedPageBreak/>
        <w:t>offrire agli investitori e alle aziende italiane</w:t>
      </w:r>
      <w:r w:rsidR="009A72A6">
        <w:rPr>
          <w:rFonts w:cstheme="minorHAnsi"/>
          <w:bCs/>
          <w:noProof/>
          <w:sz w:val="26"/>
          <w:szCs w:val="26"/>
        </w:rPr>
        <w:t>,</w:t>
      </w:r>
      <w:r w:rsidRPr="00D029B0">
        <w:rPr>
          <w:rFonts w:cstheme="minorHAnsi"/>
          <w:bCs/>
          <w:noProof/>
          <w:sz w:val="26"/>
          <w:szCs w:val="26"/>
        </w:rPr>
        <w:t xml:space="preserve"> quali attori imprescindibili nel contesto del nuovo modello di cooperazione dell’UE con i Paesi Partner.</w:t>
      </w:r>
    </w:p>
    <w:sectPr w:rsidR="00A30099" w:rsidRPr="009A7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206D" w14:textId="77777777" w:rsidR="00081D83" w:rsidRDefault="00081D83" w:rsidP="00CE4C9F">
      <w:pPr>
        <w:spacing w:after="0" w:line="240" w:lineRule="auto"/>
      </w:pPr>
      <w:r>
        <w:separator/>
      </w:r>
    </w:p>
  </w:endnote>
  <w:endnote w:type="continuationSeparator" w:id="0">
    <w:p w14:paraId="107C0644" w14:textId="77777777" w:rsidR="00081D83" w:rsidRDefault="00081D83" w:rsidP="00CE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789C" w14:textId="77777777" w:rsidR="00081D83" w:rsidRDefault="00081D83" w:rsidP="00CE4C9F">
      <w:pPr>
        <w:spacing w:after="0" w:line="240" w:lineRule="auto"/>
      </w:pPr>
      <w:r>
        <w:separator/>
      </w:r>
    </w:p>
  </w:footnote>
  <w:footnote w:type="continuationSeparator" w:id="0">
    <w:p w14:paraId="021B983A" w14:textId="77777777" w:rsidR="00081D83" w:rsidRDefault="00081D83" w:rsidP="00CE4C9F">
      <w:pPr>
        <w:spacing w:after="0" w:line="240" w:lineRule="auto"/>
      </w:pPr>
      <w:r>
        <w:continuationSeparator/>
      </w:r>
    </w:p>
  </w:footnote>
  <w:footnote w:id="1">
    <w:p w14:paraId="07494176" w14:textId="77777777" w:rsidR="00CE4C9F" w:rsidRDefault="00CE4C9F" w:rsidP="00CE4C9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Non fanno parte del Global Gateway iniziative nei settori migrazione, gestione dei conflitti, pace e sicurezza, protezione sociale, sicurezza alimentare, programmi di sicurezza alimentare delle famiglie, assistenza alimentare e risposta alle emergenze.</w:t>
      </w:r>
    </w:p>
  </w:footnote>
  <w:footnote w:id="2">
    <w:p w14:paraId="2060F4DB" w14:textId="77777777" w:rsidR="00CE4C9F" w:rsidRDefault="00CE4C9F" w:rsidP="00CE4C9F">
      <w:pPr>
        <w:pStyle w:val="Testonotaapidipagina"/>
        <w:jc w:val="both"/>
        <w:rPr>
          <w:noProof/>
        </w:rPr>
      </w:pPr>
      <w:r>
        <w:rPr>
          <w:rStyle w:val="Rimandonotaapidipagina"/>
        </w:rPr>
        <w:footnoteRef/>
      </w:r>
      <w:r>
        <w:t xml:space="preserve"> Altri programmi pluriennali dell’UE attraverso </w:t>
      </w:r>
      <w:r>
        <w:rPr>
          <w:noProof/>
        </w:rPr>
        <w:t>cui è possibile fi</w:t>
      </w:r>
      <w:r w:rsidR="000D5818">
        <w:rPr>
          <w:noProof/>
        </w:rPr>
        <w:t>nanziare i progetti che entra</w:t>
      </w:r>
      <w:r>
        <w:rPr>
          <w:noProof/>
        </w:rPr>
        <w:t>no a far parte di Global Gateway sono lo Strumento di assistenza preadesione IPA III, la parte digitale e internazionale del Meccanismo per collegare l'Europa</w:t>
      </w:r>
      <w:r w:rsidR="00DB6F3E">
        <w:rPr>
          <w:noProof/>
        </w:rPr>
        <w:t xml:space="preserve"> (</w:t>
      </w:r>
      <w:r w:rsidR="00DB6F3E" w:rsidRPr="00DB6F3E">
        <w:rPr>
          <w:i/>
          <w:noProof/>
        </w:rPr>
        <w:t>CEF – Connecting Europe Facility</w:t>
      </w:r>
      <w:r w:rsidR="00DB6F3E">
        <w:rPr>
          <w:noProof/>
        </w:rPr>
        <w:t>)</w:t>
      </w:r>
      <w:r>
        <w:rPr>
          <w:noProof/>
        </w:rPr>
        <w:t>, ma anche Interreg, InvestEU e Horizon Europe, il programma di ricerca e innovazione dell'UE.</w:t>
      </w:r>
    </w:p>
  </w:footnote>
  <w:footnote w:id="3">
    <w:p w14:paraId="429E36BF" w14:textId="77777777" w:rsidR="00CE4C9F" w:rsidRDefault="00CE4C9F" w:rsidP="00CE4C9F">
      <w:pPr>
        <w:pStyle w:val="Testonotaapidipagina"/>
        <w:jc w:val="both"/>
        <w:rPr>
          <w:noProof/>
        </w:rPr>
      </w:pPr>
      <w:r w:rsidRPr="00CF4032">
        <w:rPr>
          <w:rStyle w:val="Rimandonotaapidipagina"/>
        </w:rPr>
        <w:footnoteRef/>
      </w:r>
      <w:r w:rsidRPr="00CF4032">
        <w:t xml:space="preserve"> Il Business Advisory Group</w:t>
      </w:r>
      <w:r w:rsidR="005B1E7E">
        <w:t xml:space="preserve"> (BAG)</w:t>
      </w:r>
      <w:r w:rsidRPr="00CF4032">
        <w:t xml:space="preserve"> ha il compito di assicurare il coinvolgimento del settore privato</w:t>
      </w:r>
      <w:r w:rsidR="009D7C75">
        <w:t xml:space="preserve"> nelle azioni esterne. Si basa</w:t>
      </w:r>
      <w:r w:rsidRPr="00CF4032">
        <w:t xml:space="preserve"> il più possibile sulle piattaforme/reti esistenti per facilitare gli scambi con il settore privato/le imprese/gli </w:t>
      </w:r>
      <w:r w:rsidRPr="00CF4032">
        <w:rPr>
          <w:noProof/>
        </w:rPr>
        <w:t>investitori a diversi livelli per massimizzare l'impatto e l'efficacia degli investimenti. Esso è stato costituito attraverso un processo di selezione</w:t>
      </w:r>
      <w:r w:rsidR="00DB6F3E">
        <w:rPr>
          <w:noProof/>
        </w:rPr>
        <w:t>,</w:t>
      </w:r>
      <w:r w:rsidRPr="00CF4032">
        <w:rPr>
          <w:noProof/>
        </w:rPr>
        <w:t xml:space="preserve"> svoltosi nella prima parte del 2023, </w:t>
      </w:r>
      <w:r w:rsidR="003C0745">
        <w:rPr>
          <w:noProof/>
        </w:rPr>
        <w:t>che ha individuato circa 60</w:t>
      </w:r>
      <w:r w:rsidR="00041D82">
        <w:rPr>
          <w:noProof/>
        </w:rPr>
        <w:t xml:space="preserve"> aziende europee (oltre a 10 osservatori tra Agenzie di Cooperazione, Istituti di Credito all’Export e Banche di Sviluppo), </w:t>
      </w:r>
      <w:r w:rsidRPr="00CF4032">
        <w:rPr>
          <w:noProof/>
        </w:rPr>
        <w:t>ri</w:t>
      </w:r>
      <w:r w:rsidR="00AC41A6">
        <w:rPr>
          <w:noProof/>
        </w:rPr>
        <w:t>spettando criteri inclusivi</w:t>
      </w:r>
      <w:r w:rsidRPr="00CF4032">
        <w:rPr>
          <w:noProof/>
        </w:rPr>
        <w:t xml:space="preserve"> e</w:t>
      </w:r>
      <w:r w:rsidR="00AC41A6">
        <w:rPr>
          <w:noProof/>
        </w:rPr>
        <w:t xml:space="preserve"> di</w:t>
      </w:r>
      <w:r w:rsidRPr="00CF4032">
        <w:rPr>
          <w:noProof/>
        </w:rPr>
        <w:t xml:space="preserve"> rappresentatività per quanto riguarda la nazionalità, i settori economici e le dimensioni delle imprese (p</w:t>
      </w:r>
      <w:r w:rsidRPr="00CF4032">
        <w:rPr>
          <w:bCs/>
          <w:noProof/>
        </w:rPr>
        <w:t>er l’Italia partecipano</w:t>
      </w:r>
      <w:r w:rsidR="00DB6F3E">
        <w:rPr>
          <w:bCs/>
          <w:noProof/>
        </w:rPr>
        <w:t>:</w:t>
      </w:r>
      <w:r w:rsidRPr="00CF4032">
        <w:rPr>
          <w:bCs/>
          <w:noProof/>
        </w:rPr>
        <w:t xml:space="preserve"> ENEL</w:t>
      </w:r>
      <w:r w:rsidR="00D029B0">
        <w:rPr>
          <w:bCs/>
          <w:noProof/>
        </w:rPr>
        <w:t>; Telecom Italia Sparkle;</w:t>
      </w:r>
      <w:r w:rsidRPr="00CF4032">
        <w:rPr>
          <w:bCs/>
          <w:noProof/>
        </w:rPr>
        <w:t xml:space="preserve"> FS Italiane Spa</w:t>
      </w:r>
      <w:r w:rsidR="00D029B0">
        <w:rPr>
          <w:bCs/>
          <w:noProof/>
        </w:rPr>
        <w:t>; Getra Group</w:t>
      </w:r>
      <w:r w:rsidR="009D7C75">
        <w:rPr>
          <w:bCs/>
          <w:noProof/>
        </w:rPr>
        <w:t>. WeBuild</w:t>
      </w:r>
      <w:r w:rsidR="00041D82">
        <w:rPr>
          <w:bCs/>
          <w:noProof/>
        </w:rPr>
        <w:t>, pure selezionata,</w:t>
      </w:r>
      <w:r w:rsidR="009D7C75">
        <w:rPr>
          <w:bCs/>
          <w:noProof/>
        </w:rPr>
        <w:t xml:space="preserve"> sta considerando se riprendervi un ruolo attivo</w:t>
      </w:r>
      <w:r w:rsidRPr="00CF4032">
        <w:rPr>
          <w:bCs/>
          <w:noProof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31065"/>
    <w:multiLevelType w:val="hybridMultilevel"/>
    <w:tmpl w:val="E91C6E4A"/>
    <w:lvl w:ilvl="0" w:tplc="BE00B6DE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94D57"/>
    <w:multiLevelType w:val="multilevel"/>
    <w:tmpl w:val="957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499899">
    <w:abstractNumId w:val="0"/>
  </w:num>
  <w:num w:numId="2" w16cid:durableId="187211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9F"/>
    <w:rsid w:val="00021D87"/>
    <w:rsid w:val="00041D82"/>
    <w:rsid w:val="00054EE6"/>
    <w:rsid w:val="00071548"/>
    <w:rsid w:val="00081D83"/>
    <w:rsid w:val="000A78ED"/>
    <w:rsid w:val="000D5818"/>
    <w:rsid w:val="000F1620"/>
    <w:rsid w:val="00181FBF"/>
    <w:rsid w:val="001839DD"/>
    <w:rsid w:val="001B221E"/>
    <w:rsid w:val="001E7D42"/>
    <w:rsid w:val="001F387E"/>
    <w:rsid w:val="00217FF0"/>
    <w:rsid w:val="00250745"/>
    <w:rsid w:val="00273D21"/>
    <w:rsid w:val="002A2BE7"/>
    <w:rsid w:val="002B35BB"/>
    <w:rsid w:val="002D7AC2"/>
    <w:rsid w:val="002E3CEC"/>
    <w:rsid w:val="0034116E"/>
    <w:rsid w:val="00386F71"/>
    <w:rsid w:val="003B7E52"/>
    <w:rsid w:val="003C0745"/>
    <w:rsid w:val="003F4680"/>
    <w:rsid w:val="004321F0"/>
    <w:rsid w:val="004D3551"/>
    <w:rsid w:val="00501D21"/>
    <w:rsid w:val="00510BE3"/>
    <w:rsid w:val="005257BD"/>
    <w:rsid w:val="005B0B33"/>
    <w:rsid w:val="005B1E7E"/>
    <w:rsid w:val="005B1F25"/>
    <w:rsid w:val="005C4FF0"/>
    <w:rsid w:val="005D08C3"/>
    <w:rsid w:val="005E7E00"/>
    <w:rsid w:val="006113E4"/>
    <w:rsid w:val="006306D7"/>
    <w:rsid w:val="00656E0A"/>
    <w:rsid w:val="0066723B"/>
    <w:rsid w:val="0069467A"/>
    <w:rsid w:val="006A1818"/>
    <w:rsid w:val="006D1954"/>
    <w:rsid w:val="006D3DCE"/>
    <w:rsid w:val="006D7CB8"/>
    <w:rsid w:val="007408D1"/>
    <w:rsid w:val="007432AC"/>
    <w:rsid w:val="007447FD"/>
    <w:rsid w:val="007512C9"/>
    <w:rsid w:val="007A3B0F"/>
    <w:rsid w:val="007B3138"/>
    <w:rsid w:val="007D2D97"/>
    <w:rsid w:val="00806E3E"/>
    <w:rsid w:val="00860636"/>
    <w:rsid w:val="00881017"/>
    <w:rsid w:val="008A41BC"/>
    <w:rsid w:val="008C1B8F"/>
    <w:rsid w:val="008C4655"/>
    <w:rsid w:val="008F796F"/>
    <w:rsid w:val="00911987"/>
    <w:rsid w:val="00973A65"/>
    <w:rsid w:val="009A72A6"/>
    <w:rsid w:val="009D7C75"/>
    <w:rsid w:val="009F14BD"/>
    <w:rsid w:val="00A0314D"/>
    <w:rsid w:val="00A14C37"/>
    <w:rsid w:val="00A27A3E"/>
    <w:rsid w:val="00A30099"/>
    <w:rsid w:val="00A76849"/>
    <w:rsid w:val="00AC41A6"/>
    <w:rsid w:val="00AC50F5"/>
    <w:rsid w:val="00AF3A3B"/>
    <w:rsid w:val="00BC0097"/>
    <w:rsid w:val="00BD738C"/>
    <w:rsid w:val="00C21651"/>
    <w:rsid w:val="00C435BD"/>
    <w:rsid w:val="00C56A6B"/>
    <w:rsid w:val="00C773D2"/>
    <w:rsid w:val="00CA3A18"/>
    <w:rsid w:val="00CB3FAC"/>
    <w:rsid w:val="00CB5725"/>
    <w:rsid w:val="00CE4C9F"/>
    <w:rsid w:val="00CF32BF"/>
    <w:rsid w:val="00D01B30"/>
    <w:rsid w:val="00D029B0"/>
    <w:rsid w:val="00D05BB2"/>
    <w:rsid w:val="00D53C99"/>
    <w:rsid w:val="00D916E0"/>
    <w:rsid w:val="00DA629D"/>
    <w:rsid w:val="00DB6F3E"/>
    <w:rsid w:val="00E211B1"/>
    <w:rsid w:val="00EF5429"/>
    <w:rsid w:val="00F01748"/>
    <w:rsid w:val="00F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65E2"/>
  <w15:chartTrackingRefBased/>
  <w15:docId w15:val="{7433BD4E-3D96-4583-9C24-CF106706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C9F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4C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4C9F"/>
    <w:rPr>
      <w:sz w:val="20"/>
      <w:szCs w:val="20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CE4C9F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CE4C9F"/>
    <w:rPr>
      <w:vertAlign w:val="superscript"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qFormat/>
    <w:locked/>
    <w:rsid w:val="00CE4C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Ievolella Matteo</dc:creator>
  <cp:keywords/>
  <dc:description/>
  <cp:lastModifiedBy>Cannizzo Daniela</cp:lastModifiedBy>
  <cp:revision>2</cp:revision>
  <cp:lastPrinted>2024-04-09T17:33:00Z</cp:lastPrinted>
  <dcterms:created xsi:type="dcterms:W3CDTF">2024-05-14T09:10:00Z</dcterms:created>
  <dcterms:modified xsi:type="dcterms:W3CDTF">2024-05-14T09:10:00Z</dcterms:modified>
</cp:coreProperties>
</file>