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1FDC" w14:textId="3FF8E527" w:rsidR="00B75930" w:rsidRDefault="00B75930" w:rsidP="00B75930">
      <w:pPr>
        <w:spacing w:after="120"/>
        <w:jc w:val="center"/>
        <w:rPr>
          <w:rFonts w:ascii="Arial" w:hAnsi="Arial" w:cs="Arial"/>
          <w:b/>
          <w:bCs/>
          <w:color w:val="003399"/>
        </w:rPr>
      </w:pPr>
      <w:r w:rsidRPr="00B75930">
        <w:rPr>
          <w:rFonts w:ascii="Arial" w:hAnsi="Arial" w:cs="Arial"/>
          <w:b/>
          <w:bCs/>
          <w:color w:val="003399"/>
        </w:rPr>
        <w:t xml:space="preserve">NOTA </w:t>
      </w:r>
      <w:r>
        <w:rPr>
          <w:rFonts w:ascii="Arial" w:hAnsi="Arial" w:cs="Arial"/>
          <w:b/>
          <w:bCs/>
          <w:color w:val="003399"/>
        </w:rPr>
        <w:t xml:space="preserve">DI </w:t>
      </w:r>
      <w:r w:rsidRPr="00B75930">
        <w:rPr>
          <w:rFonts w:ascii="Arial" w:hAnsi="Arial" w:cs="Arial"/>
          <w:b/>
          <w:bCs/>
          <w:color w:val="003399"/>
        </w:rPr>
        <w:t>AGGIORNAMENTO</w:t>
      </w:r>
    </w:p>
    <w:p w14:paraId="53E95141" w14:textId="5C077E13" w:rsidR="00B75930" w:rsidRDefault="00B75930" w:rsidP="00B75930">
      <w:pPr>
        <w:spacing w:after="120"/>
        <w:jc w:val="center"/>
        <w:rPr>
          <w:rFonts w:ascii="Arial" w:hAnsi="Arial" w:cs="Arial"/>
          <w:b/>
          <w:bCs/>
          <w:color w:val="003399"/>
        </w:rPr>
      </w:pPr>
      <w:r>
        <w:rPr>
          <w:rFonts w:ascii="Arial" w:hAnsi="Arial" w:cs="Arial"/>
          <w:b/>
          <w:bCs/>
          <w:color w:val="003399"/>
        </w:rPr>
        <w:t xml:space="preserve">RENDICONTAZIONE DI SOSTENIBILITA’ </w:t>
      </w:r>
    </w:p>
    <w:p w14:paraId="2F0F8E3A" w14:textId="77777777" w:rsidR="00B75930" w:rsidRDefault="00B75930" w:rsidP="00B75930">
      <w:pPr>
        <w:spacing w:after="120"/>
        <w:jc w:val="center"/>
        <w:rPr>
          <w:rFonts w:ascii="Arial" w:hAnsi="Arial" w:cs="Arial"/>
          <w:b/>
          <w:bCs/>
          <w:color w:val="003399"/>
        </w:rPr>
      </w:pPr>
    </w:p>
    <w:p w14:paraId="05A25B49" w14:textId="3BCB6777" w:rsidR="00B75930" w:rsidRPr="00B75930" w:rsidRDefault="00B75930" w:rsidP="00B75930">
      <w:pPr>
        <w:spacing w:after="120"/>
        <w:jc w:val="both"/>
        <w:rPr>
          <w:rFonts w:ascii="Arial" w:hAnsi="Arial" w:cs="Arial"/>
          <w:b/>
          <w:bCs/>
          <w:color w:val="003399"/>
          <w:u w:val="single"/>
        </w:rPr>
      </w:pPr>
      <w:r w:rsidRPr="00B75930">
        <w:rPr>
          <w:rFonts w:ascii="Arial" w:hAnsi="Arial" w:cs="Arial"/>
          <w:b/>
          <w:bCs/>
          <w:color w:val="003399"/>
          <w:u w:val="single"/>
        </w:rPr>
        <w:t xml:space="preserve">Regolamento delegato Commissione Europea sui principi di rendicontazione di </w:t>
      </w:r>
      <w:proofErr w:type="spellStart"/>
      <w:r w:rsidRPr="00B75930">
        <w:rPr>
          <w:rFonts w:ascii="Arial" w:hAnsi="Arial" w:cs="Arial"/>
          <w:b/>
          <w:bCs/>
          <w:color w:val="003399"/>
          <w:u w:val="single"/>
        </w:rPr>
        <w:t>sostenibilita’</w:t>
      </w:r>
      <w:proofErr w:type="spellEnd"/>
    </w:p>
    <w:p w14:paraId="7CF33C85" w14:textId="2CAB3647" w:rsidR="00B8522D" w:rsidRDefault="00B8522D" w:rsidP="00B75930">
      <w:pPr>
        <w:spacing w:after="120"/>
        <w:jc w:val="both"/>
        <w:rPr>
          <w:rFonts w:ascii="Arial" w:hAnsi="Arial" w:cs="Arial"/>
          <w:color w:val="000000"/>
        </w:rPr>
      </w:pP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La Commissione Europea</w:t>
      </w:r>
      <w:r w:rsidR="00687523"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,</w:t>
      </w: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 xml:space="preserve"> il 31 luglio scorso, ha approvato i</w:t>
      </w:r>
      <w:r>
        <w:rPr>
          <w:rFonts w:ascii="Arial" w:hAnsi="Arial" w:cs="Arial"/>
          <w:color w:val="000000"/>
          <w:shd w:val="clear" w:color="auto" w:fill="FFFFFF"/>
        </w:rPr>
        <w:t>l </w:t>
      </w:r>
      <w:r>
        <w:rPr>
          <w:rStyle w:val="Enfasigrassetto"/>
          <w:rFonts w:ascii="Arial" w:hAnsi="Arial" w:cs="Arial"/>
          <w:color w:val="000000"/>
          <w:shd w:val="clear" w:color="auto" w:fill="FFFFFF"/>
        </w:rPr>
        <w:t>Regolamento delegato</w:t>
      </w: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che </w:t>
      </w:r>
      <w:r w:rsidR="00C61A18">
        <w:rPr>
          <w:rFonts w:ascii="Arial" w:hAnsi="Arial" w:cs="Arial"/>
          <w:color w:val="000000"/>
          <w:shd w:val="clear" w:color="auto" w:fill="FFFFFF"/>
        </w:rPr>
        <w:t>disciplina</w:t>
      </w:r>
      <w:r>
        <w:rPr>
          <w:rFonts w:ascii="Arial" w:hAnsi="Arial" w:cs="Arial"/>
          <w:color w:val="000000"/>
          <w:shd w:val="clear" w:color="auto" w:fill="FFFFFF"/>
        </w:rPr>
        <w:t xml:space="preserve"> il </w:t>
      </w:r>
      <w:r>
        <w:rPr>
          <w:rStyle w:val="Enfasigrassetto"/>
          <w:rFonts w:ascii="Arial" w:hAnsi="Arial" w:cs="Arial"/>
          <w:color w:val="000000"/>
          <w:shd w:val="clear" w:color="auto" w:fill="FFFFFF"/>
        </w:rPr>
        <w:t>primo set di standard obbligatori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000000"/>
          <w:shd w:val="clear" w:color="auto" w:fill="FFFFFF"/>
        </w:rPr>
        <w:t>per la rendicontazione di sostenibilità (ESRS)</w:t>
      </w: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 xml:space="preserve"> previsto dalla Corporate </w:t>
      </w:r>
      <w:proofErr w:type="spellStart"/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Sustainability</w:t>
      </w:r>
      <w:proofErr w:type="spellEnd"/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 xml:space="preserve"> Reporting Directive ( </w:t>
      </w:r>
      <w:r w:rsidR="00765A7B"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Direttiva UE 2022/2464)</w:t>
      </w:r>
      <w:r w:rsidR="002D5F19"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.</w:t>
      </w:r>
    </w:p>
    <w:p w14:paraId="2C9D7859" w14:textId="77777777" w:rsidR="00C61A18" w:rsidRDefault="00C61A18" w:rsidP="00C61A18">
      <w:pPr>
        <w:spacing w:after="120"/>
        <w:jc w:val="both"/>
      </w:pP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Si ricorda che gli ESRS sono 12 (2 principi trasversali ESRS 1e 2; 4 sociali ESRS S1-2-3.4; 5 ambientali ESRS E1-2-3-4-5; 1 governance ESRS G1) e sono rivolti al</w:t>
      </w:r>
      <w:r>
        <w:rPr>
          <w:rFonts w:ascii="Arial" w:hAnsi="Arial" w:cs="Arial"/>
          <w:color w:val="000000"/>
          <w:shd w:val="clear" w:color="auto" w:fill="FFFFFF"/>
        </w:rPr>
        <w:t>le grandi imprese di tutti i settori</w:t>
      </w:r>
      <w:r>
        <w:rPr>
          <w:rFonts w:ascii="Arial" w:hAnsi="Arial" w:cs="Arial"/>
          <w:color w:val="000000"/>
          <w14:ligatures w14:val="none"/>
        </w:rPr>
        <w:t xml:space="preserve">, coprendo l'intera gamma di questioni ambientali, sociali e di </w:t>
      </w:r>
      <w:r>
        <w:rPr>
          <w:rFonts w:ascii="Arial" w:hAnsi="Arial" w:cs="Arial"/>
          <w:i/>
          <w:iCs/>
          <w:color w:val="000000"/>
          <w14:ligatures w14:val="none"/>
        </w:rPr>
        <w:t>governance</w:t>
      </w:r>
      <w:r>
        <w:rPr>
          <w:rFonts w:ascii="Arial" w:hAnsi="Arial" w:cs="Arial"/>
          <w:color w:val="000000"/>
          <w14:ligatures w14:val="none"/>
        </w:rPr>
        <w:t xml:space="preserve">, compresi i cambiamenti climatici, la biodiversità e i diritti umani. </w:t>
      </w:r>
      <w:r>
        <w:rPr>
          <w:rFonts w:ascii="Arial" w:hAnsi="Arial" w:cs="Arial"/>
          <w14:ligatures w14:val="none"/>
        </w:rPr>
        <w:t xml:space="preserve">Mirano, tra le altre cose, a </w:t>
      </w:r>
      <w:r>
        <w:rPr>
          <w:rFonts w:ascii="Arial" w:hAnsi="Arial" w:cs="Arial"/>
          <w:color w:val="000000"/>
          <w14:ligatures w14:val="none"/>
        </w:rPr>
        <w:t xml:space="preserve">fornire informazioni agli investitori per comprendere l'impatto sulla sostenibilità delle imprese in cui investono. </w:t>
      </w:r>
    </w:p>
    <w:p w14:paraId="11AF27B2" w14:textId="3F4E0767" w:rsidR="002D5F19" w:rsidRDefault="00B75930" w:rsidP="00B75930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Dalla conclusione dell’iter di approvazione, emerge che la maggior parte delle proposte contenute nella bozza di atto delegato</w:t>
      </w:r>
      <w:r w:rsidR="00765A7B">
        <w:rPr>
          <w:rFonts w:ascii="Arial" w:hAnsi="Arial" w:cs="Arial"/>
          <w:color w:val="000000"/>
        </w:rPr>
        <w:t>, sottoposto alla consultazione pubblica nel giugno scorso,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sono state recepite senza variazioni. </w:t>
      </w:r>
    </w:p>
    <w:p w14:paraId="35B9E877" w14:textId="28226AD9" w:rsidR="002D5F19" w:rsidRDefault="002D5F19" w:rsidP="002D5F19">
      <w:pPr>
        <w:spacing w:after="120"/>
        <w:jc w:val="both"/>
      </w:pPr>
      <w:r>
        <w:rPr>
          <w:rFonts w:ascii="Arial" w:hAnsi="Arial" w:cs="Arial"/>
          <w:color w:val="000000"/>
          <w:shd w:val="clear" w:color="auto" w:fill="FFFFFF"/>
        </w:rPr>
        <w:t>Confindustria aveva </w:t>
      </w: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risposto</w:t>
      </w:r>
      <w:r w:rsidR="00C61A18"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alla consultazione, insieme a Business</w:t>
      </w:r>
      <w:r w:rsidR="00FC1804"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 xml:space="preserve">evidenziando che, nonostante i miglioramenti intervenuti nell’atto delegato </w:t>
      </w:r>
      <w:r w:rsidR="00687523">
        <w:rPr>
          <w:rFonts w:ascii="Arial" w:hAnsi="Arial" w:cs="Arial"/>
          <w:color w:val="000000"/>
          <w:shd w:val="clear" w:color="auto" w:fill="FFFFFF"/>
        </w:rPr>
        <w:t xml:space="preserve">rispetto ai documenti elaborati dall’EFRAG </w:t>
      </w:r>
      <w:r>
        <w:rPr>
          <w:rFonts w:ascii="Arial" w:hAnsi="Arial" w:cs="Arial"/>
          <w:color w:val="000000"/>
          <w:shd w:val="clear" w:color="auto" w:fill="FFFFFF"/>
        </w:rPr>
        <w:t>(applicazione del principio di materialità a tutte le informazioni; molte informazioni complesse divenute volontarie; allungamento di alcune norme transitorie; maggiore allineamento con gli standard ISBB),  gli standard proposti contenevano ancora una </w:t>
      </w:r>
      <w:r>
        <w:rPr>
          <w:rStyle w:val="Enfasigrassetto"/>
          <w:rFonts w:ascii="Arial" w:hAnsi="Arial" w:cs="Arial"/>
          <w:b w:val="0"/>
          <w:bCs w:val="0"/>
          <w:color w:val="000000"/>
          <w:shd w:val="clear" w:color="auto" w:fill="FFFFFF"/>
        </w:rPr>
        <w:t>grande quantità di informazioni sulla sostenibilità.</w:t>
      </w:r>
    </w:p>
    <w:p w14:paraId="47D7BCF6" w14:textId="2181274F" w:rsidR="00B75930" w:rsidRDefault="00687523" w:rsidP="002D5F19">
      <w:pPr>
        <w:spacing w:after="120"/>
        <w:jc w:val="both"/>
      </w:pPr>
      <w:r>
        <w:rPr>
          <w:rFonts w:ascii="Arial" w:hAnsi="Arial" w:cs="Arial"/>
          <w:color w:val="000000"/>
        </w:rPr>
        <w:t xml:space="preserve">Tale impostazione, seppur semplificata e razionalizzata, è stata confermata. </w:t>
      </w:r>
      <w:r w:rsidR="00B75930">
        <w:rPr>
          <w:rFonts w:ascii="Arial" w:hAnsi="Arial" w:cs="Arial"/>
          <w:color w:val="000000"/>
        </w:rPr>
        <w:t>Di seguito</w:t>
      </w:r>
      <w:r w:rsidR="00B75930">
        <w:rPr>
          <w:rFonts w:ascii="Arial" w:hAnsi="Arial" w:cs="Arial"/>
        </w:rPr>
        <w:t>,</w:t>
      </w:r>
      <w:r w:rsidR="00B75930">
        <w:rPr>
          <w:rFonts w:ascii="Arial" w:hAnsi="Arial" w:cs="Arial"/>
          <w:color w:val="000000"/>
        </w:rPr>
        <w:t xml:space="preserve"> sono riportate le principali modifiche</w:t>
      </w:r>
      <w:r>
        <w:rPr>
          <w:rFonts w:ascii="Arial" w:hAnsi="Arial" w:cs="Arial"/>
          <w:color w:val="000000"/>
        </w:rPr>
        <w:t>.</w:t>
      </w:r>
    </w:p>
    <w:p w14:paraId="3A791351" w14:textId="77777777" w:rsidR="00B75930" w:rsidRDefault="00B75930" w:rsidP="00B75930">
      <w:pPr>
        <w:pStyle w:val="Paragrafoelenco"/>
        <w:numPr>
          <w:ilvl w:val="0"/>
          <w:numId w:val="1"/>
        </w:numPr>
        <w:spacing w:after="120"/>
        <w:jc w:val="both"/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V</w:t>
      </w:r>
      <w:r>
        <w:rPr>
          <w:rFonts w:ascii="Arial" w:eastAsia="Times New Roman" w:hAnsi="Arial" w:cs="Arial"/>
          <w:b/>
          <w:bCs/>
          <w:color w:val="000000"/>
        </w:rPr>
        <w:t>alutazione di materialità/rilevanza</w:t>
      </w:r>
      <w:r>
        <w:rPr>
          <w:rFonts w:ascii="Arial" w:eastAsia="Times New Roman" w:hAnsi="Arial" w:cs="Arial"/>
          <w:color w:val="000000"/>
        </w:rPr>
        <w:t>: tutti gli standard e gli obblighi di informativa</w:t>
      </w:r>
      <w:r>
        <w:rPr>
          <w:rFonts w:ascii="Arial" w:eastAsia="Times New Roman" w:hAnsi="Arial" w:cs="Arial"/>
        </w:rPr>
        <w:t xml:space="preserve">, nonché </w:t>
      </w:r>
      <w:r>
        <w:rPr>
          <w:rFonts w:ascii="Arial" w:eastAsia="Times New Roman" w:hAnsi="Arial" w:cs="Arial"/>
          <w:color w:val="000000"/>
        </w:rPr>
        <w:t>i punti dati all'interno di ciascuno standard sono soggetti a valutazione di rilevanza da parte dell'impresa, ad eccezione degli obblighi di informativa specificati nello standard "Informazioni generali" (ESRS 2)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  <w:color w:val="000000"/>
        </w:rPr>
        <w:t xml:space="preserve"> che devono essere sempre divulgate (nella proposta </w:t>
      </w:r>
      <w:r>
        <w:rPr>
          <w:rFonts w:ascii="Arial" w:eastAsia="Times New Roman" w:hAnsi="Arial" w:cs="Arial"/>
        </w:rPr>
        <w:t>EFRAG dovevano essere sempre fornite</w:t>
      </w:r>
      <w:r>
        <w:rPr>
          <w:rFonts w:ascii="Arial" w:eastAsia="Times New Roman" w:hAnsi="Arial" w:cs="Arial"/>
          <w14:ligatures w14:val="none"/>
        </w:rPr>
        <w:t xml:space="preserve"> anche </w:t>
      </w:r>
      <w:r>
        <w:rPr>
          <w:rFonts w:ascii="Arial" w:eastAsia="Times New Roman" w:hAnsi="Arial" w:cs="Arial"/>
        </w:rPr>
        <w:t xml:space="preserve">le informazioni riguardanti il clima, gli indicatori </w:t>
      </w:r>
      <w:r>
        <w:rPr>
          <w:rFonts w:ascii="Arial" w:eastAsia="Times New Roman" w:hAnsi="Arial" w:cs="Arial"/>
          <w:color w:val="000000"/>
        </w:rPr>
        <w:t xml:space="preserve">derivanti dalla </w:t>
      </w:r>
      <w:proofErr w:type="spellStart"/>
      <w:r>
        <w:rPr>
          <w:rFonts w:ascii="Arial" w:eastAsia="Times New Roman" w:hAnsi="Arial" w:cs="Arial"/>
          <w:color w:val="000000"/>
        </w:rPr>
        <w:t>Sustainable</w:t>
      </w:r>
      <w:proofErr w:type="spellEnd"/>
      <w:r>
        <w:rPr>
          <w:rFonts w:ascii="Arial" w:eastAsia="Times New Roman" w:hAnsi="Arial" w:cs="Arial"/>
          <w:color w:val="000000"/>
        </w:rPr>
        <w:t xml:space="preserve"> Finance Disclosure </w:t>
      </w:r>
      <w:proofErr w:type="spellStart"/>
      <w:r>
        <w:rPr>
          <w:rFonts w:ascii="Arial" w:eastAsia="Times New Roman" w:hAnsi="Arial" w:cs="Arial"/>
          <w:color w:val="000000"/>
        </w:rPr>
        <w:t>Regulation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  <w:color w:val="000000"/>
        </w:rPr>
        <w:t xml:space="preserve"> SFDR - dalla </w:t>
      </w:r>
      <w:r>
        <w:rPr>
          <w:rFonts w:ascii="Arial" w:eastAsia="Times New Roman" w:hAnsi="Arial" w:cs="Arial"/>
          <w:i/>
          <w:iCs/>
          <w:color w:val="000000"/>
        </w:rPr>
        <w:t xml:space="preserve">benchmark </w:t>
      </w:r>
      <w:proofErr w:type="spellStart"/>
      <w:r>
        <w:rPr>
          <w:rFonts w:ascii="Arial" w:eastAsia="Times New Roman" w:hAnsi="Arial" w:cs="Arial"/>
          <w:i/>
          <w:iCs/>
          <w:color w:val="000000"/>
        </w:rPr>
        <w:t>regulation</w:t>
      </w:r>
      <w:proofErr w:type="spellEnd"/>
      <w:r>
        <w:rPr>
          <w:rFonts w:ascii="Arial" w:eastAsia="Times New Roman" w:hAnsi="Arial" w:cs="Arial"/>
          <w:color w:val="000000"/>
        </w:rPr>
        <w:t xml:space="preserve"> o dai requisiti di informativa del "pillar 3" ai sensi della Capital </w:t>
      </w:r>
      <w:proofErr w:type="spellStart"/>
      <w:r>
        <w:rPr>
          <w:rFonts w:ascii="Arial" w:eastAsia="Times New Roman" w:hAnsi="Arial" w:cs="Arial"/>
          <w:color w:val="000000"/>
        </w:rPr>
        <w:t>Requirements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Regulation</w:t>
      </w:r>
      <w:proofErr w:type="spellEnd"/>
      <w:r>
        <w:rPr>
          <w:rFonts w:ascii="Arial" w:eastAsia="Times New Roman" w:hAnsi="Arial" w:cs="Arial"/>
          <w:color w:val="000000"/>
        </w:rPr>
        <w:t>)</w:t>
      </w:r>
      <w:r>
        <w:rPr>
          <w:rFonts w:ascii="Arial" w:eastAsia="Times New Roman" w:hAnsi="Arial" w:cs="Arial"/>
        </w:rPr>
        <w:t>.</w:t>
      </w:r>
    </w:p>
    <w:p w14:paraId="51E6DE1F" w14:textId="77777777" w:rsidR="00B75930" w:rsidRDefault="00B75930" w:rsidP="00B75930">
      <w:pPr>
        <w:ind w:firstLine="708"/>
        <w:jc w:val="both"/>
      </w:pPr>
      <w:r>
        <w:rPr>
          <w:rFonts w:ascii="Arial" w:hAnsi="Arial" w:cs="Arial"/>
        </w:rPr>
        <w:t>Al contempo</w:t>
      </w:r>
      <w:r>
        <w:rPr>
          <w:rFonts w:ascii="Arial" w:hAnsi="Arial" w:cs="Arial"/>
          <w:color w:val="000000"/>
        </w:rPr>
        <w:t xml:space="preserve">, nel testo finale vengono introdotti i seguenti obblighi: </w:t>
      </w:r>
    </w:p>
    <w:p w14:paraId="20E420FB" w14:textId="77777777" w:rsidR="00B75930" w:rsidRDefault="00B75930" w:rsidP="00B75930">
      <w:pPr>
        <w:pStyle w:val="Paragrafoelenco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fornire una spiegazione dettagliata delle conclusioni </w:t>
      </w:r>
      <w:r>
        <w:rPr>
          <w:rFonts w:ascii="Arial" w:eastAsia="Times New Roman" w:hAnsi="Arial" w:cs="Arial"/>
        </w:rPr>
        <w:t>sulla</w:t>
      </w:r>
      <w:r>
        <w:rPr>
          <w:rFonts w:ascii="Arial" w:eastAsia="Times New Roman" w:hAnsi="Arial" w:cs="Arial"/>
          <w:color w:val="000000"/>
        </w:rPr>
        <w:t xml:space="preserve"> valutazione di materialità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  <w:color w:val="000000"/>
        </w:rPr>
        <w:t xml:space="preserve"> nel caso in cui il cambiamento climatico sia considerato un argomento non rilevante</w:t>
      </w:r>
      <w:r>
        <w:rPr>
          <w:rFonts w:ascii="Arial" w:eastAsia="Times New Roman" w:hAnsi="Arial" w:cs="Arial"/>
        </w:rPr>
        <w:t>;</w:t>
      </w:r>
    </w:p>
    <w:p w14:paraId="6AD20F3A" w14:textId="77777777" w:rsidR="00B75930" w:rsidRDefault="00B75930" w:rsidP="00B75930">
      <w:pPr>
        <w:pStyle w:val="Paragrafoelenco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fornire una dichiarazione di "non rilevanza" se i dati derivanti dalla </w:t>
      </w:r>
      <w:proofErr w:type="spellStart"/>
      <w:r>
        <w:rPr>
          <w:rFonts w:ascii="Arial" w:eastAsia="Times New Roman" w:hAnsi="Arial" w:cs="Arial"/>
          <w:color w:val="000000"/>
        </w:rPr>
        <w:t>Sustainable</w:t>
      </w:r>
      <w:proofErr w:type="spellEnd"/>
      <w:r>
        <w:rPr>
          <w:rFonts w:ascii="Arial" w:eastAsia="Times New Roman" w:hAnsi="Arial" w:cs="Arial"/>
          <w:color w:val="000000"/>
        </w:rPr>
        <w:t xml:space="preserve"> Finance Disclosure </w:t>
      </w:r>
      <w:proofErr w:type="spellStart"/>
      <w:r>
        <w:rPr>
          <w:rFonts w:ascii="Arial" w:eastAsia="Times New Roman" w:hAnsi="Arial" w:cs="Arial"/>
          <w:color w:val="000000"/>
        </w:rPr>
        <w:t>Regulation</w:t>
      </w:r>
      <w:proofErr w:type="spellEnd"/>
      <w:r>
        <w:rPr>
          <w:rFonts w:ascii="Arial" w:eastAsia="Times New Roman" w:hAnsi="Arial" w:cs="Arial"/>
          <w:color w:val="000000"/>
        </w:rPr>
        <w:t xml:space="preserve">, dalla benchmark </w:t>
      </w:r>
      <w:proofErr w:type="spellStart"/>
      <w:r>
        <w:rPr>
          <w:rFonts w:ascii="Arial" w:eastAsia="Times New Roman" w:hAnsi="Arial" w:cs="Arial"/>
          <w:color w:val="000000"/>
        </w:rPr>
        <w:t>regulation</w:t>
      </w:r>
      <w:proofErr w:type="spellEnd"/>
      <w:r>
        <w:rPr>
          <w:rFonts w:ascii="Arial" w:eastAsia="Times New Roman" w:hAnsi="Arial" w:cs="Arial"/>
          <w:color w:val="000000"/>
        </w:rPr>
        <w:t xml:space="preserve"> o dai requisiti di informativa del "pillar 3", non sono rilevanti</w:t>
      </w:r>
      <w:r>
        <w:rPr>
          <w:rFonts w:ascii="Arial" w:eastAsia="Times New Roman" w:hAnsi="Arial" w:cs="Arial"/>
        </w:rPr>
        <w:t>;</w:t>
      </w:r>
    </w:p>
    <w:p w14:paraId="179F204E" w14:textId="77777777" w:rsidR="00B75930" w:rsidRDefault="00B75930" w:rsidP="00B75930">
      <w:pPr>
        <w:pStyle w:val="Paragrafoelenco"/>
        <w:numPr>
          <w:ilvl w:val="0"/>
          <w:numId w:val="2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>l'ESRS 1 “Requisiti generali” (r</w:t>
      </w:r>
      <w:r>
        <w:rPr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color w:val="000000"/>
        </w:rPr>
        <w:t xml:space="preserve">)introduce l'obbligo di fornire sempre le informazioni previste dal requisito di informativa IRO-1 "Descrizione del processo di identificazione e valutazione degli impatti, dei rischi e delle opportunità rilevanti" quando è parte di uno standard, anche se questi argomenti non sono considerati rilevanti. Se letto insieme all'ESRS 2, vi è un requisito di informativa IRO-1 su tutti gli standard ambientali e su quello della </w:t>
      </w:r>
      <w:r>
        <w:rPr>
          <w:rFonts w:ascii="Arial" w:eastAsia="Times New Roman" w:hAnsi="Arial" w:cs="Arial"/>
          <w:i/>
          <w:iCs/>
          <w:color w:val="000000"/>
        </w:rPr>
        <w:t>governance</w:t>
      </w:r>
      <w:r>
        <w:rPr>
          <w:rFonts w:ascii="Arial" w:eastAsia="Times New Roman" w:hAnsi="Arial" w:cs="Arial"/>
          <w:color w:val="000000"/>
        </w:rPr>
        <w:t xml:space="preserve">. Pertanto, un'azienda </w:t>
      </w:r>
      <w:r>
        <w:rPr>
          <w:rFonts w:ascii="Arial" w:eastAsia="Times New Roman" w:hAnsi="Arial" w:cs="Arial"/>
        </w:rPr>
        <w:t xml:space="preserve">dovrebbe in ogni caso </w:t>
      </w:r>
      <w:r>
        <w:rPr>
          <w:rFonts w:ascii="Arial" w:eastAsia="Times New Roman" w:hAnsi="Arial" w:cs="Arial"/>
          <w:color w:val="000000"/>
        </w:rPr>
        <w:t xml:space="preserve">fornire informazioni sul processo di materialità svolto su questi argomenti. </w:t>
      </w:r>
    </w:p>
    <w:p w14:paraId="4EA70A1B" w14:textId="77777777" w:rsidR="00B75930" w:rsidRDefault="00B75930" w:rsidP="00B75930">
      <w:pPr>
        <w:pStyle w:val="Paragrafoelenco"/>
        <w:jc w:val="both"/>
      </w:pPr>
      <w:r>
        <w:rPr>
          <w:rFonts w:ascii="Arial" w:hAnsi="Arial" w:cs="Arial"/>
          <w:color w:val="000000"/>
        </w:rPr>
        <w:t> </w:t>
      </w:r>
    </w:p>
    <w:p w14:paraId="793B895E" w14:textId="6E7BDE45" w:rsidR="00B75930" w:rsidRDefault="00B75930" w:rsidP="00B75930">
      <w:pPr>
        <w:pStyle w:val="Paragrafoelenco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</w:rPr>
        <w:t>I</w:t>
      </w:r>
      <w:r>
        <w:rPr>
          <w:rFonts w:ascii="Arial" w:eastAsia="Times New Roman" w:hAnsi="Arial" w:cs="Arial"/>
          <w:b/>
          <w:bCs/>
          <w:color w:val="000000"/>
        </w:rPr>
        <w:t>ntroduzione graduale di determinati requisiti</w:t>
      </w:r>
      <w:r>
        <w:rPr>
          <w:rFonts w:ascii="Arial" w:eastAsia="Times New Roman" w:hAnsi="Arial" w:cs="Arial"/>
          <w:color w:val="000000"/>
        </w:rPr>
        <w:t xml:space="preserve">: </w:t>
      </w:r>
      <w:r>
        <w:rPr>
          <w:rFonts w:ascii="Arial" w:eastAsia="Times New Roman" w:hAnsi="Arial" w:cs="Arial"/>
        </w:rPr>
        <w:t xml:space="preserve">la disciplina transitoria </w:t>
      </w:r>
      <w:r>
        <w:rPr>
          <w:rFonts w:ascii="Arial" w:eastAsia="Times New Roman" w:hAnsi="Arial" w:cs="Arial"/>
          <w:color w:val="000000"/>
        </w:rPr>
        <w:t>propost</w:t>
      </w:r>
      <w:r w:rsidR="00765A7B">
        <w:rPr>
          <w:rFonts w:ascii="Arial" w:eastAsia="Times New Roman" w:hAnsi="Arial" w:cs="Arial"/>
          <w:color w:val="000000"/>
        </w:rPr>
        <w:t>a</w:t>
      </w:r>
      <w:r>
        <w:rPr>
          <w:rFonts w:ascii="Arial" w:eastAsia="Times New Roman" w:hAnsi="Arial" w:cs="Arial"/>
          <w:color w:val="000000"/>
        </w:rPr>
        <w:t xml:space="preserve"> da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000000"/>
        </w:rPr>
        <w:t>EFRAG</w:t>
      </w:r>
      <w:r>
        <w:rPr>
          <w:rFonts w:ascii="Arial" w:eastAsia="Times New Roman" w:hAnsi="Arial" w:cs="Arial"/>
        </w:rPr>
        <w:t xml:space="preserve"> è stata ulteriormente ammorbidita</w:t>
      </w:r>
      <w:r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</w:rPr>
        <w:t>coprendo l’intero perimetro applicativo della nuova disciplina</w:t>
      </w:r>
      <w:r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</w:rPr>
        <w:t xml:space="preserve">ma soprattutto con l’obiettivo di aiutare le imprese </w:t>
      </w:r>
      <w:r>
        <w:rPr>
          <w:rFonts w:ascii="Arial" w:eastAsia="Times New Roman" w:hAnsi="Arial" w:cs="Arial"/>
          <w:color w:val="000000"/>
        </w:rPr>
        <w:t xml:space="preserve">più piccole </w:t>
      </w:r>
      <w:proofErr w:type="gramStart"/>
      <w:r>
        <w:rPr>
          <w:rFonts w:ascii="Arial" w:eastAsia="Times New Roman" w:hAnsi="Arial" w:cs="Arial"/>
          <w:color w:val="000000"/>
        </w:rPr>
        <w:t>ad</w:t>
      </w:r>
      <w:proofErr w:type="gramEnd"/>
      <w:r>
        <w:rPr>
          <w:rFonts w:ascii="Arial" w:eastAsia="Times New Roman" w:hAnsi="Arial" w:cs="Arial"/>
          <w:color w:val="000000"/>
        </w:rPr>
        <w:t xml:space="preserve"> adempiere i nuovi obblighi: </w:t>
      </w:r>
    </w:p>
    <w:p w14:paraId="7C11DA00" w14:textId="7A44FBA5" w:rsidR="00B75930" w:rsidRDefault="00B75930" w:rsidP="00765A7B">
      <w:pPr>
        <w:numPr>
          <w:ilvl w:val="1"/>
          <w:numId w:val="3"/>
        </w:numPr>
        <w:ind w:left="1134" w:right="-1" w:hanging="283"/>
        <w:jc w:val="both"/>
        <w:rPr>
          <w:rFonts w:eastAsia="Times New Roman"/>
          <w:color w:val="000000"/>
        </w:rPr>
      </w:pPr>
      <w:r w:rsidRPr="00FC0BFF">
        <w:rPr>
          <w:rFonts w:ascii="Arial" w:eastAsia="Times New Roman" w:hAnsi="Arial" w:cs="Arial"/>
          <w:color w:val="000000"/>
        </w:rPr>
        <w:t>le imprese con meno di 750 dipendenti possono omettere, ne</w:t>
      </w:r>
      <w:r w:rsidR="00AE7CAA" w:rsidRPr="00FC0BFF">
        <w:rPr>
          <w:rFonts w:ascii="Arial" w:eastAsia="Times New Roman" w:hAnsi="Arial" w:cs="Arial"/>
          <w:color w:val="000000"/>
        </w:rPr>
        <w:t>l primo anno</w:t>
      </w:r>
      <w:r w:rsidRPr="00FC0BFF">
        <w:rPr>
          <w:rFonts w:ascii="Arial" w:eastAsia="Times New Roman" w:hAnsi="Arial" w:cs="Arial"/>
          <w:color w:val="000000"/>
        </w:rPr>
        <w:t xml:space="preserve"> in cui si applicano le norme, i dati relativi alle emissioni di gas a effetto serra scope 3</w:t>
      </w:r>
      <w:r w:rsidR="00E41A6B" w:rsidRPr="00FC0BFF">
        <w:rPr>
          <w:rFonts w:ascii="Arial" w:eastAsia="Times New Roman" w:hAnsi="Arial" w:cs="Arial"/>
          <w:color w:val="000000"/>
        </w:rPr>
        <w:t xml:space="preserve">, </w:t>
      </w:r>
      <w:r w:rsidR="002236C3" w:rsidRPr="00FC0BFF">
        <w:rPr>
          <w:rFonts w:ascii="Arial" w:eastAsia="Times New Roman" w:hAnsi="Arial" w:cs="Arial"/>
          <w:color w:val="000000"/>
        </w:rPr>
        <w:t>emissioni totali di GES</w:t>
      </w:r>
      <w:r w:rsidRPr="00FC0BFF">
        <w:rPr>
          <w:rFonts w:ascii="Arial" w:eastAsia="Times New Roman" w:hAnsi="Arial" w:cs="Arial"/>
          <w:color w:val="000000"/>
        </w:rPr>
        <w:t xml:space="preserve">, </w:t>
      </w:r>
      <w:r w:rsidR="00E41A6B" w:rsidRPr="00FC0BFF">
        <w:rPr>
          <w:rFonts w:ascii="Arial" w:eastAsia="Times New Roman" w:hAnsi="Arial" w:cs="Arial"/>
          <w:color w:val="000000"/>
        </w:rPr>
        <w:t>e</w:t>
      </w:r>
      <w:r w:rsidR="00E41A6B" w:rsidRPr="00FC0BFF">
        <w:rPr>
          <w:rFonts w:ascii="Arial" w:hAnsi="Arial" w:cs="Arial"/>
        </w:rPr>
        <w:t xml:space="preserve"> gli obblighi di informativa </w:t>
      </w:r>
      <w:r w:rsidR="00E41A6B" w:rsidRPr="00FC0BFF">
        <w:rPr>
          <w:rFonts w:ascii="Arial" w:hAnsi="Arial" w:cs="Arial"/>
        </w:rPr>
        <w:t>sulla f</w:t>
      </w:r>
      <w:r w:rsidR="00E41A6B" w:rsidRPr="00FC0BFF">
        <w:rPr>
          <w:rFonts w:ascii="Arial" w:hAnsi="Arial" w:cs="Arial"/>
        </w:rPr>
        <w:t>orza lavoro propria</w:t>
      </w:r>
      <w:r w:rsidR="00E41A6B">
        <w:rPr>
          <w:i/>
          <w:iCs/>
        </w:rPr>
        <w:t xml:space="preserve">; </w:t>
      </w:r>
      <w:r w:rsidR="002236C3">
        <w:rPr>
          <w:rFonts w:ascii="Arial" w:eastAsia="Times New Roman" w:hAnsi="Arial" w:cs="Arial"/>
          <w:color w:val="000000"/>
        </w:rPr>
        <w:t>mentre per i</w:t>
      </w:r>
      <w:r>
        <w:rPr>
          <w:rFonts w:ascii="Arial" w:eastAsia="Times New Roman" w:hAnsi="Arial" w:cs="Arial"/>
          <w:color w:val="000000"/>
        </w:rPr>
        <w:t xml:space="preserve"> </w:t>
      </w:r>
      <w:r w:rsidR="00AE7CAA">
        <w:rPr>
          <w:rFonts w:ascii="Arial" w:eastAsia="Times New Roman" w:hAnsi="Arial" w:cs="Arial"/>
          <w:color w:val="000000"/>
        </w:rPr>
        <w:t xml:space="preserve">primi </w:t>
      </w:r>
      <w:r w:rsidR="00AE7CAA">
        <w:rPr>
          <w:rFonts w:ascii="Arial" w:eastAsia="Times New Roman" w:hAnsi="Arial" w:cs="Arial"/>
          <w:color w:val="000000"/>
        </w:rPr>
        <w:lastRenderedPageBreak/>
        <w:t xml:space="preserve">due anni </w:t>
      </w:r>
      <w:r>
        <w:rPr>
          <w:rFonts w:ascii="Arial" w:eastAsia="Times New Roman" w:hAnsi="Arial" w:cs="Arial"/>
          <w:color w:val="000000"/>
        </w:rPr>
        <w:t>quelli specificati nelle norme sulla biodiversità, sulle comunità interessate</w:t>
      </w:r>
      <w:r w:rsidR="002236C3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sui consumatori e utenti finali</w:t>
      </w:r>
      <w:r w:rsidR="00AE7CAA" w:rsidRPr="00AE7CAA">
        <w:rPr>
          <w:rFonts w:ascii="Arial" w:eastAsia="Times New Roman" w:hAnsi="Arial" w:cs="Arial"/>
          <w:color w:val="000000"/>
        </w:rPr>
        <w:t xml:space="preserve"> </w:t>
      </w:r>
      <w:r w:rsidR="002236C3">
        <w:rPr>
          <w:rFonts w:ascii="Arial" w:eastAsia="Times New Roman" w:hAnsi="Arial" w:cs="Arial"/>
          <w:color w:val="000000"/>
        </w:rPr>
        <w:t>e su</w:t>
      </w:r>
      <w:r w:rsidR="00AE7CAA">
        <w:rPr>
          <w:rFonts w:ascii="Arial" w:eastAsia="Times New Roman" w:hAnsi="Arial" w:cs="Arial"/>
          <w:color w:val="000000"/>
        </w:rPr>
        <w:t>i lavoratori della catena del valore</w:t>
      </w:r>
      <w:r>
        <w:rPr>
          <w:rFonts w:ascii="Arial" w:eastAsia="Times New Roman" w:hAnsi="Arial" w:cs="Arial"/>
        </w:rPr>
        <w:t>;</w:t>
      </w:r>
    </w:p>
    <w:p w14:paraId="53E51FC5" w14:textId="45E02FA3" w:rsidR="00B75930" w:rsidRDefault="00B75930" w:rsidP="00765A7B">
      <w:pPr>
        <w:numPr>
          <w:ilvl w:val="1"/>
          <w:numId w:val="3"/>
        </w:numPr>
        <w:ind w:left="1134" w:right="-1" w:hanging="283"/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>tutte le imprese possono omettere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  <w:color w:val="000000"/>
        </w:rPr>
        <w:t xml:space="preserve"> nel primo anno in cui applicano le </w:t>
      </w:r>
      <w:r>
        <w:rPr>
          <w:rFonts w:ascii="Arial" w:eastAsia="Times New Roman" w:hAnsi="Arial" w:cs="Arial"/>
        </w:rPr>
        <w:t xml:space="preserve">nuove </w:t>
      </w:r>
      <w:r>
        <w:rPr>
          <w:rFonts w:ascii="Arial" w:eastAsia="Times New Roman" w:hAnsi="Arial" w:cs="Arial"/>
          <w:color w:val="000000"/>
        </w:rPr>
        <w:t>norme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  <w:color w:val="000000"/>
        </w:rPr>
        <w:t xml:space="preserve"> le seguenti informazioni: effetti finanziari previsti relativi a questioni ambientali non climatiche (inquinamento, acqua, biodiversità e uso delle risorse); </w:t>
      </w:r>
      <w:r>
        <w:rPr>
          <w:rFonts w:ascii="Arial" w:eastAsia="Times New Roman" w:hAnsi="Arial" w:cs="Arial"/>
        </w:rPr>
        <w:t xml:space="preserve">alcuni </w:t>
      </w:r>
      <w:r>
        <w:rPr>
          <w:rFonts w:ascii="Arial" w:eastAsia="Times New Roman" w:hAnsi="Arial" w:cs="Arial"/>
          <w:color w:val="000000"/>
        </w:rPr>
        <w:t xml:space="preserve">dati relativi alla propria forza lavoro (protezione sociale, disabilità, </w:t>
      </w:r>
      <w:r w:rsidR="00417D47">
        <w:rPr>
          <w:rFonts w:ascii="Arial" w:eastAsia="Times New Roman" w:hAnsi="Arial" w:cs="Arial"/>
          <w:color w:val="000000"/>
        </w:rPr>
        <w:t>conciliazione</w:t>
      </w:r>
      <w:r>
        <w:rPr>
          <w:rFonts w:ascii="Arial" w:eastAsia="Times New Roman" w:hAnsi="Arial" w:cs="Arial"/>
          <w:color w:val="000000"/>
        </w:rPr>
        <w:t xml:space="preserve"> tra vita professionale e vita privata)</w:t>
      </w:r>
      <w:r>
        <w:rPr>
          <w:rFonts w:ascii="Arial" w:eastAsia="Times New Roman" w:hAnsi="Arial" w:cs="Arial"/>
        </w:rPr>
        <w:t>.</w:t>
      </w:r>
    </w:p>
    <w:p w14:paraId="1800A674" w14:textId="77777777" w:rsidR="00B75930" w:rsidRDefault="00B75930" w:rsidP="00B75930">
      <w:pPr>
        <w:ind w:left="1418" w:right="924"/>
        <w:jc w:val="both"/>
      </w:pPr>
      <w:r>
        <w:rPr>
          <w:rFonts w:ascii="Arial" w:hAnsi="Arial" w:cs="Arial"/>
          <w:color w:val="000000"/>
        </w:rPr>
        <w:t> </w:t>
      </w:r>
    </w:p>
    <w:p w14:paraId="6BFE7A78" w14:textId="77777777" w:rsidR="00B75930" w:rsidRDefault="00B75930" w:rsidP="00765A7B">
      <w:pPr>
        <w:pStyle w:val="Paragrafoelenco"/>
        <w:numPr>
          <w:ilvl w:val="0"/>
          <w:numId w:val="1"/>
        </w:numPr>
        <w:spacing w:after="112"/>
        <w:ind w:right="-1"/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</w:rPr>
        <w:t>D</w:t>
      </w:r>
      <w:r>
        <w:rPr>
          <w:rFonts w:ascii="Arial" w:eastAsia="Times New Roman" w:hAnsi="Arial" w:cs="Arial"/>
          <w:b/>
          <w:bCs/>
          <w:color w:val="000000"/>
        </w:rPr>
        <w:t>ivulgazioni volontarie</w:t>
      </w:r>
      <w:r>
        <w:rPr>
          <w:rFonts w:ascii="Arial" w:eastAsia="Times New Roman" w:hAnsi="Arial" w:cs="Arial"/>
          <w:color w:val="000000"/>
        </w:rPr>
        <w:t>: i progetti di standard presentati da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EFRAG includevano già molti dati volontari e ne sono stati aggiunti </w:t>
      </w:r>
      <w:r>
        <w:rPr>
          <w:rFonts w:ascii="Arial" w:eastAsia="Times New Roman" w:hAnsi="Arial" w:cs="Arial"/>
        </w:rPr>
        <w:t xml:space="preserve">ulteriori </w:t>
      </w:r>
      <w:r>
        <w:rPr>
          <w:rFonts w:ascii="Arial" w:eastAsia="Times New Roman" w:hAnsi="Arial" w:cs="Arial"/>
          <w:color w:val="000000"/>
        </w:rPr>
        <w:t>(es. piani di transizione della biodiversità; alcuni indicatori sui "non dipendenti" nell'organico dell'impresa)</w:t>
      </w:r>
      <w:r>
        <w:rPr>
          <w:rFonts w:ascii="Arial" w:eastAsia="Times New Roman" w:hAnsi="Arial" w:cs="Arial"/>
        </w:rPr>
        <w:t>.</w:t>
      </w:r>
    </w:p>
    <w:p w14:paraId="1CAD2EA1" w14:textId="77777777" w:rsidR="00B75930" w:rsidRDefault="00B75930" w:rsidP="00765A7B">
      <w:pPr>
        <w:pStyle w:val="Paragrafoelenco"/>
        <w:numPr>
          <w:ilvl w:val="0"/>
          <w:numId w:val="1"/>
        </w:numPr>
        <w:spacing w:after="112"/>
        <w:ind w:right="-1"/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</w:rPr>
        <w:t>Interoperabilità con le iniziative di normazione a livello mondiale</w:t>
      </w:r>
      <w:r>
        <w:rPr>
          <w:rFonts w:ascii="Arial" w:eastAsia="Times New Roman" w:hAnsi="Arial" w:cs="Arial"/>
        </w:rPr>
        <w:t xml:space="preserve">: la Commissione e l'EFRAG hanno continuato a collaborare strettamente con l'International </w:t>
      </w:r>
      <w:proofErr w:type="spellStart"/>
      <w:r>
        <w:rPr>
          <w:rFonts w:ascii="Arial" w:eastAsia="Times New Roman" w:hAnsi="Arial" w:cs="Arial"/>
        </w:rPr>
        <w:t>Sustainability</w:t>
      </w:r>
      <w:proofErr w:type="spellEnd"/>
      <w:r>
        <w:rPr>
          <w:rFonts w:ascii="Arial" w:eastAsia="Times New Roman" w:hAnsi="Arial" w:cs="Arial"/>
        </w:rPr>
        <w:t xml:space="preserve"> Standards Board e la Global Reporting </w:t>
      </w:r>
      <w:proofErr w:type="spellStart"/>
      <w:r>
        <w:rPr>
          <w:rFonts w:ascii="Arial" w:eastAsia="Times New Roman" w:hAnsi="Arial" w:cs="Arial"/>
        </w:rPr>
        <w:t>Initiative</w:t>
      </w:r>
      <w:proofErr w:type="spellEnd"/>
      <w:r>
        <w:rPr>
          <w:rFonts w:ascii="Arial" w:eastAsia="Times New Roman" w:hAnsi="Arial" w:cs="Arial"/>
        </w:rPr>
        <w:t>, per garantire un elevato grado di interoperabilità tra gli standard.</w:t>
      </w:r>
    </w:p>
    <w:p w14:paraId="3AE292A8" w14:textId="77777777" w:rsidR="00B75930" w:rsidRDefault="00B75930" w:rsidP="00B75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A751021" w14:textId="77777777" w:rsidR="00B75930" w:rsidRDefault="00B75930" w:rsidP="00B75930"/>
    <w:p w14:paraId="047DE3B5" w14:textId="41121242" w:rsidR="00B75930" w:rsidRDefault="00FC1804" w:rsidP="00B75930">
      <w:pPr>
        <w:rPr>
          <w:rFonts w:ascii="Arial" w:hAnsi="Arial" w:cs="Arial"/>
          <w:b/>
          <w:bCs/>
          <w:color w:val="003399"/>
          <w:u w:val="single"/>
        </w:rPr>
      </w:pPr>
      <w:proofErr w:type="spellStart"/>
      <w:r>
        <w:rPr>
          <w:rFonts w:ascii="Arial" w:hAnsi="Arial" w:cs="Arial"/>
          <w:b/>
          <w:bCs/>
          <w:color w:val="003399"/>
          <w:u w:val="single"/>
        </w:rPr>
        <w:t>Guidance</w:t>
      </w:r>
      <w:proofErr w:type="spellEnd"/>
      <w:r w:rsidR="00B75930" w:rsidRPr="00B75930">
        <w:rPr>
          <w:rFonts w:ascii="Arial" w:hAnsi="Arial" w:cs="Arial"/>
          <w:b/>
          <w:bCs/>
          <w:color w:val="003399"/>
          <w:u w:val="single"/>
        </w:rPr>
        <w:t xml:space="preserve"> EFRAG </w:t>
      </w:r>
    </w:p>
    <w:p w14:paraId="6368CAE5" w14:textId="77777777" w:rsidR="00687523" w:rsidRDefault="00687523" w:rsidP="00B75930">
      <w:pPr>
        <w:jc w:val="both"/>
        <w:rPr>
          <w:rFonts w:ascii="Arial" w:hAnsi="Arial" w:cs="Arial"/>
        </w:rPr>
      </w:pPr>
    </w:p>
    <w:p w14:paraId="21210B67" w14:textId="67A03F5D" w:rsidR="00B75930" w:rsidRDefault="00B75930" w:rsidP="00B75930">
      <w:pPr>
        <w:jc w:val="both"/>
      </w:pPr>
      <w:r>
        <w:rPr>
          <w:rFonts w:ascii="Arial" w:hAnsi="Arial" w:cs="Arial"/>
        </w:rPr>
        <w:t>EFRAG ha pubblicato</w:t>
      </w:r>
      <w:r w:rsidR="00687523">
        <w:rPr>
          <w:rFonts w:ascii="Arial" w:hAnsi="Arial" w:cs="Arial"/>
        </w:rPr>
        <w:t xml:space="preserve"> a fine agosto</w:t>
      </w:r>
      <w:r>
        <w:rPr>
          <w:rFonts w:ascii="Arial" w:hAnsi="Arial" w:cs="Arial"/>
        </w:rPr>
        <w:t xml:space="preserve">, come annunciato, </w:t>
      </w:r>
      <w:r>
        <w:rPr>
          <w:rFonts w:ascii="Arial" w:hAnsi="Arial" w:cs="Arial"/>
          <w:b/>
          <w:bCs/>
        </w:rPr>
        <w:t>tre ulteriori documenti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>.), che potranno supportare le imprese nella redazione della propria relazione sulla sostenibilità.</w:t>
      </w:r>
    </w:p>
    <w:p w14:paraId="0BBF3621" w14:textId="77777777" w:rsidR="00B75930" w:rsidRDefault="00B75930" w:rsidP="00B75930">
      <w:pPr>
        <w:pStyle w:val="Paragrafoelenco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 xml:space="preserve">Draft IFR-ESRS Mapping </w:t>
      </w:r>
      <w:proofErr w:type="spellStart"/>
      <w:r>
        <w:rPr>
          <w:rFonts w:ascii="Arial" w:eastAsia="Times New Roman" w:hAnsi="Arial" w:cs="Arial"/>
          <w:b/>
          <w:bCs/>
        </w:rPr>
        <w:t>table</w:t>
      </w:r>
      <w:proofErr w:type="spellEnd"/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  <w14:ligatures w14:val="none"/>
        </w:rPr>
        <w:t xml:space="preserve">esamina l'interoperabilità tra gli standard ESRS e ISSB, in particolare tra ESRS 2 General </w:t>
      </w:r>
      <w:proofErr w:type="spellStart"/>
      <w:r>
        <w:rPr>
          <w:rFonts w:ascii="Arial" w:eastAsia="Times New Roman" w:hAnsi="Arial" w:cs="Arial"/>
          <w14:ligatures w14:val="none"/>
        </w:rPr>
        <w:t>Disclosures</w:t>
      </w:r>
      <w:proofErr w:type="spellEnd"/>
      <w:r>
        <w:rPr>
          <w:rFonts w:ascii="Arial" w:eastAsia="Times New Roman" w:hAnsi="Arial" w:cs="Arial"/>
          <w14:ligatures w14:val="none"/>
        </w:rPr>
        <w:t xml:space="preserve"> e ESRS E1 </w:t>
      </w:r>
      <w:proofErr w:type="spellStart"/>
      <w:r>
        <w:rPr>
          <w:rFonts w:ascii="Arial" w:eastAsia="Times New Roman" w:hAnsi="Arial" w:cs="Arial"/>
          <w14:ligatures w14:val="none"/>
        </w:rPr>
        <w:t>Climate</w:t>
      </w:r>
      <w:proofErr w:type="spellEnd"/>
      <w:r>
        <w:rPr>
          <w:rFonts w:ascii="Arial" w:eastAsia="Times New Roman" w:hAnsi="Arial" w:cs="Arial"/>
          <w14:ligatures w14:val="none"/>
        </w:rPr>
        <w:t xml:space="preserve"> con IFRS S1 &amp; S2 </w:t>
      </w:r>
      <w:proofErr w:type="spellStart"/>
      <w:r>
        <w:rPr>
          <w:rFonts w:ascii="Arial" w:eastAsia="Times New Roman" w:hAnsi="Arial" w:cs="Arial"/>
          <w14:ligatures w14:val="none"/>
        </w:rPr>
        <w:t>Climate-related</w:t>
      </w:r>
      <w:proofErr w:type="spellEnd"/>
      <w:r>
        <w:rPr>
          <w:rFonts w:ascii="Arial" w:eastAsia="Times New Roman" w:hAnsi="Arial" w:cs="Aria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14:ligatures w14:val="none"/>
        </w:rPr>
        <w:t>Disclosures</w:t>
      </w:r>
      <w:proofErr w:type="spellEnd"/>
      <w:r>
        <w:rPr>
          <w:rFonts w:ascii="Arial" w:eastAsia="Times New Roman" w:hAnsi="Arial" w:cs="Arial"/>
          <w14:ligatures w14:val="none"/>
        </w:rPr>
        <w:t xml:space="preserve">, fornendo una tabella di mappatura delle informazioni tra tutti i </w:t>
      </w:r>
      <w:proofErr w:type="spellStart"/>
      <w:r>
        <w:rPr>
          <w:rFonts w:ascii="Arial" w:eastAsia="Times New Roman" w:hAnsi="Arial" w:cs="Arial"/>
          <w14:ligatures w14:val="none"/>
        </w:rPr>
        <w:t>datapoint</w:t>
      </w:r>
      <w:proofErr w:type="spellEnd"/>
      <w:r>
        <w:rPr>
          <w:rFonts w:ascii="Arial" w:eastAsia="Times New Roman" w:hAnsi="Arial" w:cs="Arial"/>
          <w14:ligatures w14:val="none"/>
        </w:rPr>
        <w:t xml:space="preserve"> richiesti dall'IFRS S2 e le corrispondenti informative sia nell'ESRS 2 (quando sono di natura trasversale, cioè corrispondenti ai contenuti IFRS Core) sia in ESRS E1.</w:t>
      </w:r>
    </w:p>
    <w:p w14:paraId="418C3CF2" w14:textId="34C1C9A7" w:rsidR="00B75930" w:rsidRDefault="00B75930" w:rsidP="00B75930">
      <w:pPr>
        <w:pStyle w:val="Paragrafoelenco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 xml:space="preserve">Draft </w:t>
      </w:r>
      <w:proofErr w:type="spellStart"/>
      <w:r>
        <w:rPr>
          <w:rFonts w:ascii="Arial" w:eastAsia="Times New Roman" w:hAnsi="Arial" w:cs="Arial"/>
          <w:b/>
          <w:bCs/>
        </w:rPr>
        <w:t>implementation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guidance</w:t>
      </w:r>
      <w:proofErr w:type="spellEnd"/>
      <w:r>
        <w:rPr>
          <w:rFonts w:ascii="Arial" w:eastAsia="Times New Roman" w:hAnsi="Arial" w:cs="Arial"/>
          <w:b/>
          <w:bCs/>
        </w:rPr>
        <w:t xml:space="preserve"> for </w:t>
      </w:r>
      <w:proofErr w:type="spellStart"/>
      <w:r>
        <w:rPr>
          <w:rFonts w:ascii="Arial" w:eastAsia="Times New Roman" w:hAnsi="Arial" w:cs="Arial"/>
          <w:b/>
          <w:bCs/>
        </w:rPr>
        <w:t>value</w:t>
      </w:r>
      <w:proofErr w:type="spellEnd"/>
      <w:r>
        <w:rPr>
          <w:rFonts w:ascii="Arial" w:eastAsia="Times New Roman" w:hAnsi="Arial" w:cs="Arial"/>
          <w:b/>
          <w:bCs/>
        </w:rPr>
        <w:t xml:space="preserve"> chain (VCIG)</w:t>
      </w:r>
      <w:r>
        <w:rPr>
          <w:rFonts w:ascii="Arial" w:eastAsia="Times New Roman" w:hAnsi="Arial" w:cs="Arial"/>
        </w:rPr>
        <w:t xml:space="preserve">: spiega, anche con esempi pratici e mediante FAQ, come individuare i soggetti che fanno parte della catena del valore di un’impresa e quali considerare ai fine della valutazione degli impatti, rischi e opportunità </w:t>
      </w:r>
      <w:r w:rsidR="00687523">
        <w:rPr>
          <w:rFonts w:ascii="Arial" w:eastAsia="Times New Roman" w:hAnsi="Arial" w:cs="Arial"/>
        </w:rPr>
        <w:t>che incidono sull’</w:t>
      </w:r>
      <w:r>
        <w:rPr>
          <w:rFonts w:ascii="Arial" w:eastAsia="Times New Roman" w:hAnsi="Arial" w:cs="Arial"/>
        </w:rPr>
        <w:t>attività.</w:t>
      </w:r>
    </w:p>
    <w:p w14:paraId="3C0AE927" w14:textId="159898B5" w:rsidR="00B75930" w:rsidRDefault="00B75930" w:rsidP="00B75930">
      <w:pPr>
        <w:pStyle w:val="Paragrafoelenco"/>
        <w:numPr>
          <w:ilvl w:val="0"/>
          <w:numId w:val="4"/>
        </w:num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</w:rPr>
        <w:t xml:space="preserve">Draft </w:t>
      </w:r>
      <w:proofErr w:type="spellStart"/>
      <w:r>
        <w:rPr>
          <w:rFonts w:ascii="Arial" w:eastAsia="Times New Roman" w:hAnsi="Arial" w:cs="Arial"/>
          <w:b/>
          <w:bCs/>
        </w:rPr>
        <w:t>implementation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guidance</w:t>
      </w:r>
      <w:proofErr w:type="spellEnd"/>
      <w:r>
        <w:rPr>
          <w:rFonts w:ascii="Arial" w:eastAsia="Times New Roman" w:hAnsi="Arial" w:cs="Arial"/>
          <w:b/>
          <w:bCs/>
        </w:rPr>
        <w:t xml:space="preserve"> for the </w:t>
      </w:r>
      <w:proofErr w:type="spellStart"/>
      <w:r>
        <w:rPr>
          <w:rFonts w:ascii="Arial" w:eastAsia="Times New Roman" w:hAnsi="Arial" w:cs="Arial"/>
          <w:b/>
          <w:bCs/>
        </w:rPr>
        <w:t>materiality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assessment</w:t>
      </w:r>
      <w:proofErr w:type="spellEnd"/>
      <w:r>
        <w:rPr>
          <w:rFonts w:ascii="Arial" w:eastAsia="Times New Roman" w:hAnsi="Arial" w:cs="Arial"/>
        </w:rPr>
        <w:t xml:space="preserve">: </w:t>
      </w:r>
      <w:r w:rsidR="00687523">
        <w:rPr>
          <w:rFonts w:ascii="Arial" w:eastAsia="Times New Roman" w:hAnsi="Arial" w:cs="Arial"/>
        </w:rPr>
        <w:t>illustra</w:t>
      </w:r>
      <w:r>
        <w:rPr>
          <w:rFonts w:ascii="Arial" w:eastAsia="Times New Roman" w:hAnsi="Arial" w:cs="Arial"/>
        </w:rPr>
        <w:t xml:space="preserve">, con taglio operativo, </w:t>
      </w:r>
      <w:r>
        <w:rPr>
          <w:rFonts w:ascii="Arial" w:eastAsia="Times New Roman" w:hAnsi="Arial" w:cs="Arial"/>
          <w14:ligatures w14:val="none"/>
        </w:rPr>
        <w:t xml:space="preserve">il processo mediante cui l'impresa determina gli aspetti di sostenibilità rilevanti (dal punto di vista della rilevanza dell'impatto o della prospettiva della rilevanza finanziaria o di entrambe) e le informazioni da riportare nella dichiarazione di sostenibilità in merito agli impatti,  rischi e opportunità (IRO) della propria attività in materia ambientale, sociale e di governance. La valutazione non si limita alle operazioni proprie dell'impresa, ma comprende anche la catena del valore a monte e a valle. Anche in questo caso sono riportate alcune FAQ sugli aspetti più complessi della valutazione di rilevanza. </w:t>
      </w:r>
    </w:p>
    <w:p w14:paraId="73A990BF" w14:textId="77777777" w:rsidR="00B75930" w:rsidRDefault="00B75930" w:rsidP="00B75930">
      <w:pPr>
        <w:jc w:val="both"/>
      </w:pPr>
    </w:p>
    <w:p w14:paraId="7EF48FA9" w14:textId="77777777" w:rsidR="00765A7B" w:rsidRDefault="00765A7B">
      <w:pPr>
        <w:jc w:val="both"/>
      </w:pPr>
    </w:p>
    <w:sectPr w:rsidR="00765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D27D2"/>
    <w:multiLevelType w:val="hybridMultilevel"/>
    <w:tmpl w:val="CC8EE5D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E15B3E"/>
    <w:multiLevelType w:val="hybridMultilevel"/>
    <w:tmpl w:val="66B47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3B77"/>
    <w:multiLevelType w:val="hybridMultilevel"/>
    <w:tmpl w:val="3CBE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756D"/>
    <w:multiLevelType w:val="hybridMultilevel"/>
    <w:tmpl w:val="4D5079BE"/>
    <w:lvl w:ilvl="0" w:tplc="FFFFFFFF">
      <w:start w:val="1"/>
      <w:numFmt w:val="bullet"/>
      <w:lvlText w:val="•"/>
      <w:lvlJc w:val="left"/>
      <w:pPr>
        <w:ind w:left="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▪"/>
      <w:lvlJc w:val="left"/>
      <w:pPr>
        <w:ind w:left="1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60903360">
    <w:abstractNumId w:val="1"/>
  </w:num>
  <w:num w:numId="2" w16cid:durableId="908812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520307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259364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30"/>
    <w:rsid w:val="002236C3"/>
    <w:rsid w:val="002D5F19"/>
    <w:rsid w:val="00417D47"/>
    <w:rsid w:val="00687523"/>
    <w:rsid w:val="00765A7B"/>
    <w:rsid w:val="00AE7CAA"/>
    <w:rsid w:val="00B75930"/>
    <w:rsid w:val="00B8522D"/>
    <w:rsid w:val="00C61A18"/>
    <w:rsid w:val="00E41A6B"/>
    <w:rsid w:val="00FC0BFF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A1F2"/>
  <w15:chartTrackingRefBased/>
  <w15:docId w15:val="{06B2E94B-6F3A-48CE-99D0-76029163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93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930"/>
    <w:pPr>
      <w:ind w:left="720"/>
    </w:pPr>
  </w:style>
  <w:style w:type="character" w:styleId="Enfasigrassetto">
    <w:name w:val="Strong"/>
    <w:basedOn w:val="Carpredefinitoparagrafo"/>
    <w:uiPriority w:val="22"/>
    <w:qFormat/>
    <w:rsid w:val="00B8522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D5F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FCD8889C1524E990618C7FFD0ABC1" ma:contentTypeVersion="15" ma:contentTypeDescription="Creare un nuovo documento." ma:contentTypeScope="" ma:versionID="bd1b7b286d0294a338d5234e3782898f">
  <xsd:schema xmlns:xsd="http://www.w3.org/2001/XMLSchema" xmlns:xs="http://www.w3.org/2001/XMLSchema" xmlns:p="http://schemas.microsoft.com/office/2006/metadata/properties" xmlns:ns2="480d74a7-71b5-4999-8c9c-7d38ace181e7" xmlns:ns3="ec8d93ac-597f-4446-99e4-ac4cf18b6406" targetNamespace="http://schemas.microsoft.com/office/2006/metadata/properties" ma:root="true" ma:fieldsID="5cd230f8959871b01bd2cb27537358db" ns2:_="" ns3:_="">
    <xsd:import namespace="480d74a7-71b5-4999-8c9c-7d38ace181e7"/>
    <xsd:import namespace="ec8d93ac-597f-4446-99e4-ac4cf18b6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d74a7-71b5-4999-8c9c-7d38ace1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c5a36491-74e0-4c35-a6f0-68b60f884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93ac-597f-4446-99e4-ac4cf18b64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e60a05-7ea1-410a-9c10-26d04805bd25}" ma:internalName="TaxCatchAll" ma:showField="CatchAllData" ma:web="ec8d93ac-597f-4446-99e4-ac4cf18b6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83B9-E698-4420-A1E5-49EC06573986}"/>
</file>

<file path=customXml/itemProps2.xml><?xml version="1.0" encoding="utf-8"?>
<ds:datastoreItem xmlns:ds="http://schemas.openxmlformats.org/officeDocument/2006/customXml" ds:itemID="{9FB551E7-D263-44A8-8204-676DAAFFE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Bausano Alessia</dc:creator>
  <cp:keywords/>
  <dc:description/>
  <cp:lastModifiedBy>Bausano Alessia</cp:lastModifiedBy>
  <cp:revision>6</cp:revision>
  <dcterms:created xsi:type="dcterms:W3CDTF">2023-09-11T07:57:00Z</dcterms:created>
  <dcterms:modified xsi:type="dcterms:W3CDTF">2023-09-12T09:06:00Z</dcterms:modified>
</cp:coreProperties>
</file>