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28B53" w14:textId="77777777" w:rsidR="00077740" w:rsidRPr="00485275" w:rsidRDefault="00077740" w:rsidP="00077740">
      <w:pPr>
        <w:pStyle w:val="NormaleWeb"/>
        <w:shd w:val="clear" w:color="auto" w:fill="FFFFFF"/>
        <w:spacing w:before="30" w:beforeAutospacing="0" w:after="30" w:afterAutospacing="0"/>
        <w:ind w:left="30"/>
        <w:jc w:val="center"/>
        <w:rPr>
          <w:rFonts w:ascii="Roboto" w:hAnsi="Roboto" w:cstheme="minorHAnsi"/>
          <w:color w:val="000000"/>
          <w:sz w:val="22"/>
          <w:szCs w:val="22"/>
        </w:rPr>
      </w:pPr>
      <w:r w:rsidRPr="00485275">
        <w:rPr>
          <w:rFonts w:ascii="Roboto" w:hAnsi="Roboto" w:cstheme="minorHAnsi"/>
          <w:color w:val="000000"/>
          <w:sz w:val="22"/>
          <w:szCs w:val="22"/>
        </w:rPr>
        <w:t>PARERE APPROVATO DALLA COMMISSIONE</w:t>
      </w:r>
    </w:p>
    <w:p w14:paraId="1C67C420" w14:textId="06F29DEC" w:rsidR="00077740" w:rsidRDefault="00077740" w:rsidP="00077740">
      <w:pPr>
        <w:pStyle w:val="NormaleWeb"/>
        <w:shd w:val="clear" w:color="auto" w:fill="FFFFFF"/>
        <w:spacing w:before="30" w:beforeAutospacing="0" w:after="30" w:afterAutospacing="0"/>
        <w:ind w:left="30"/>
        <w:jc w:val="center"/>
        <w:rPr>
          <w:rFonts w:ascii="Roboto" w:hAnsi="Roboto" w:cstheme="minorHAnsi"/>
          <w:color w:val="000000"/>
          <w:sz w:val="22"/>
          <w:szCs w:val="22"/>
        </w:rPr>
      </w:pPr>
      <w:r w:rsidRPr="00485275">
        <w:rPr>
          <w:rFonts w:ascii="Roboto" w:hAnsi="Roboto" w:cstheme="minorHAnsi"/>
          <w:color w:val="000000"/>
          <w:sz w:val="22"/>
          <w:szCs w:val="22"/>
        </w:rPr>
        <w:t>SULL'ATTO DEL GOVERNO N. 1</w:t>
      </w:r>
    </w:p>
    <w:p w14:paraId="24A119C3" w14:textId="77777777" w:rsidR="00485275" w:rsidRPr="00485275" w:rsidRDefault="00485275" w:rsidP="00077740">
      <w:pPr>
        <w:pStyle w:val="NormaleWeb"/>
        <w:shd w:val="clear" w:color="auto" w:fill="FFFFFF"/>
        <w:spacing w:before="30" w:beforeAutospacing="0" w:after="30" w:afterAutospacing="0"/>
        <w:ind w:left="30"/>
        <w:jc w:val="center"/>
        <w:rPr>
          <w:rFonts w:ascii="Roboto" w:hAnsi="Roboto" w:cstheme="minorHAnsi"/>
          <w:color w:val="000000"/>
          <w:sz w:val="22"/>
          <w:szCs w:val="22"/>
        </w:rPr>
      </w:pPr>
    </w:p>
    <w:p w14:paraId="53DBB25A" w14:textId="77777777" w:rsidR="00077740" w:rsidRPr="00485275" w:rsidRDefault="00077740" w:rsidP="00077740">
      <w:pPr>
        <w:pStyle w:val="NormaleWeb"/>
        <w:shd w:val="clear" w:color="auto" w:fill="FFFFFF"/>
        <w:spacing w:before="30" w:beforeAutospacing="0" w:after="30" w:afterAutospacing="0"/>
        <w:ind w:left="30"/>
        <w:rPr>
          <w:rFonts w:ascii="Roboto" w:hAnsi="Roboto" w:cstheme="minorHAnsi"/>
          <w:color w:val="000000"/>
          <w:sz w:val="22"/>
          <w:szCs w:val="22"/>
        </w:rPr>
      </w:pPr>
      <w:r w:rsidRPr="00485275">
        <w:rPr>
          <w:rFonts w:ascii="Roboto" w:hAnsi="Roboto" w:cstheme="minorHAnsi"/>
          <w:color w:val="000000"/>
          <w:sz w:val="22"/>
          <w:szCs w:val="22"/>
        </w:rPr>
        <w:t>L'</w:t>
      </w:r>
      <w:proofErr w:type="gramStart"/>
      <w:r w:rsidRPr="00485275">
        <w:rPr>
          <w:rFonts w:ascii="Roboto" w:hAnsi="Roboto" w:cstheme="minorHAnsi"/>
          <w:color w:val="000000"/>
          <w:sz w:val="22"/>
          <w:szCs w:val="22"/>
        </w:rPr>
        <w:t>8</w:t>
      </w:r>
      <w:r w:rsidRPr="00485275">
        <w:rPr>
          <w:rFonts w:ascii="Roboto" w:hAnsi="Roboto" w:cstheme="minorHAnsi"/>
          <w:color w:val="000000"/>
          <w:sz w:val="22"/>
          <w:szCs w:val="22"/>
          <w:vertAlign w:val="superscript"/>
        </w:rPr>
        <w:t>a</w:t>
      </w:r>
      <w:proofErr w:type="gramEnd"/>
      <w:r w:rsidRPr="00485275">
        <w:rPr>
          <w:rFonts w:ascii="Roboto" w:hAnsi="Roboto" w:cstheme="minorHAnsi"/>
          <w:color w:val="000000"/>
          <w:sz w:val="22"/>
          <w:szCs w:val="22"/>
        </w:rPr>
        <w:t> Commissione Ambiente, transizione ecologica, energia, lavori pubblici, comunicazioni, innovazione tecnologica, esaminato lo schema di decreto legislativo recante disposizioni integrative e correttive al decreto legislativo 3 settembre 2020, n. 116, di recepimento della direttiva 2008/98/CE, che modifica la direttiva 2018/98/CE, relativa ai rifiuti, e della direttiva (UE) 2018/852 che modifica la direttiva 1994/62/CE sugli imballaggi e i rifiuti di imballaggio (n. 1),</w:t>
      </w:r>
    </w:p>
    <w:p w14:paraId="2E55FF69" w14:textId="77777777" w:rsidR="00077740" w:rsidRPr="00485275" w:rsidRDefault="00077740" w:rsidP="00077740">
      <w:pPr>
        <w:pStyle w:val="NormaleWeb"/>
        <w:shd w:val="clear" w:color="auto" w:fill="FFFFFF"/>
        <w:spacing w:before="30" w:beforeAutospacing="0" w:after="30" w:afterAutospacing="0"/>
        <w:ind w:left="30"/>
        <w:rPr>
          <w:rFonts w:ascii="Roboto" w:hAnsi="Roboto" w:cstheme="minorHAnsi"/>
          <w:color w:val="000000"/>
          <w:sz w:val="22"/>
          <w:szCs w:val="22"/>
        </w:rPr>
      </w:pPr>
      <w:r w:rsidRPr="00485275">
        <w:rPr>
          <w:rFonts w:ascii="Roboto" w:hAnsi="Roboto" w:cstheme="minorHAnsi"/>
          <w:color w:val="000000"/>
          <w:sz w:val="22"/>
          <w:szCs w:val="22"/>
        </w:rPr>
        <w:t>premesso che:</w:t>
      </w:r>
    </w:p>
    <w:p w14:paraId="34343B62" w14:textId="77777777" w:rsidR="00077740" w:rsidRPr="00485275" w:rsidRDefault="00077740" w:rsidP="00077740">
      <w:pPr>
        <w:pStyle w:val="NormaleWeb"/>
        <w:shd w:val="clear" w:color="auto" w:fill="FFFFFF"/>
        <w:spacing w:before="30" w:beforeAutospacing="0" w:after="30" w:afterAutospacing="0"/>
        <w:ind w:left="30"/>
        <w:rPr>
          <w:rFonts w:ascii="Roboto" w:hAnsi="Roboto" w:cstheme="minorHAnsi"/>
          <w:color w:val="000000"/>
          <w:sz w:val="22"/>
          <w:szCs w:val="22"/>
        </w:rPr>
      </w:pPr>
      <w:r w:rsidRPr="00485275">
        <w:rPr>
          <w:rFonts w:ascii="Roboto" w:hAnsi="Roboto" w:cstheme="minorHAnsi"/>
          <w:color w:val="000000"/>
          <w:sz w:val="22"/>
          <w:szCs w:val="22"/>
        </w:rPr>
        <w:t>- lo schema di decreto legislativo in titolo reca disposizioni integrative e correttive al decreto legislativo 3 settembre 2020, n. 116, di recepimento della direttiva (UE) 2018/851, che modifica la direttiva 2008/98/CE relativa ai rifiuti, e della direttiva (UE) 2018/852, che modifica la direttiva 1994/62/CE sugli imballaggi e i rifiuti di imballaggio;</w:t>
      </w:r>
    </w:p>
    <w:p w14:paraId="52D6E914" w14:textId="77777777" w:rsidR="00077740" w:rsidRPr="00485275" w:rsidRDefault="00077740" w:rsidP="00077740">
      <w:pPr>
        <w:pStyle w:val="NormaleWeb"/>
        <w:shd w:val="clear" w:color="auto" w:fill="FFFFFF"/>
        <w:spacing w:before="30" w:beforeAutospacing="0" w:after="30" w:afterAutospacing="0"/>
        <w:ind w:left="30"/>
        <w:rPr>
          <w:rFonts w:ascii="Roboto" w:hAnsi="Roboto" w:cstheme="minorHAnsi"/>
          <w:color w:val="000000"/>
          <w:sz w:val="22"/>
          <w:szCs w:val="22"/>
        </w:rPr>
      </w:pPr>
      <w:r w:rsidRPr="00485275">
        <w:rPr>
          <w:rFonts w:ascii="Roboto" w:hAnsi="Roboto" w:cstheme="minorHAnsi"/>
          <w:color w:val="000000"/>
          <w:sz w:val="22"/>
          <w:szCs w:val="22"/>
        </w:rPr>
        <w:t>- il suddetto decreto legislativo n. 116 del 2020 ha recepito la direttiva (UE) 2018/851, che modifica la direttiva 2008/98/CE relativa ai rifiuti, e la direttiva (UE) 2018/852, che modifica la direttiva 1994/62/CE sugli imballaggi e i rifiuti di imballaggio sulla base dei criteri di delega stabiliti dall'articolo 16 della legge 4 ottobre 2019, n. 117, recante "Delega al Governo per il recepimento delle direttive europee e l'attuazione di altri atti dell'Unione europea - Legge di delegazione europea 2018";</w:t>
      </w:r>
    </w:p>
    <w:p w14:paraId="19B8933D" w14:textId="77777777" w:rsidR="00077740" w:rsidRPr="00485275" w:rsidRDefault="00077740" w:rsidP="00077740">
      <w:pPr>
        <w:pStyle w:val="NormaleWeb"/>
        <w:shd w:val="clear" w:color="auto" w:fill="FFFFFF"/>
        <w:spacing w:before="30" w:beforeAutospacing="0" w:after="30" w:afterAutospacing="0"/>
        <w:ind w:left="30"/>
        <w:rPr>
          <w:rFonts w:ascii="Roboto" w:hAnsi="Roboto" w:cstheme="minorHAnsi"/>
          <w:color w:val="000000"/>
          <w:sz w:val="22"/>
          <w:szCs w:val="22"/>
        </w:rPr>
      </w:pPr>
      <w:r w:rsidRPr="00485275">
        <w:rPr>
          <w:rFonts w:ascii="Roboto" w:hAnsi="Roboto" w:cstheme="minorHAnsi"/>
          <w:color w:val="000000"/>
          <w:sz w:val="22"/>
          <w:szCs w:val="22"/>
        </w:rPr>
        <w:t>- il decreto legislativo n. 116 del 2020 attua i principi di cui alle direttive 2018/851 e 2018/852 della massima partecipazione di tutti gli operatori economici dei settori interessati e della libera concorrenza anche eliminando possibili discriminazioni tra gli stessi;</w:t>
      </w:r>
    </w:p>
    <w:p w14:paraId="58F53F02" w14:textId="77777777" w:rsidR="00077740" w:rsidRPr="00485275" w:rsidRDefault="00077740" w:rsidP="00077740">
      <w:pPr>
        <w:pStyle w:val="NormaleWeb"/>
        <w:shd w:val="clear" w:color="auto" w:fill="FFFFFF"/>
        <w:spacing w:before="30" w:beforeAutospacing="0" w:after="30" w:afterAutospacing="0"/>
        <w:ind w:left="30"/>
        <w:rPr>
          <w:rFonts w:ascii="Roboto" w:hAnsi="Roboto" w:cstheme="minorHAnsi"/>
          <w:color w:val="000000"/>
          <w:sz w:val="22"/>
          <w:szCs w:val="22"/>
        </w:rPr>
      </w:pPr>
      <w:r w:rsidRPr="00485275">
        <w:rPr>
          <w:rFonts w:ascii="Roboto" w:hAnsi="Roboto" w:cstheme="minorHAnsi"/>
          <w:color w:val="000000"/>
          <w:sz w:val="22"/>
          <w:szCs w:val="22"/>
        </w:rPr>
        <w:t>- visto il parere della Conferenza unificata di cui all'articolo 8 del decreto legislativo n. 281 del 1997, espresso in data 12 ottobre 2022;</w:t>
      </w:r>
    </w:p>
    <w:p w14:paraId="537F243D" w14:textId="77777777" w:rsidR="00077740" w:rsidRPr="00485275" w:rsidRDefault="00077740" w:rsidP="00077740">
      <w:pPr>
        <w:pStyle w:val="NormaleWeb"/>
        <w:shd w:val="clear" w:color="auto" w:fill="FFFFFF"/>
        <w:spacing w:before="30" w:beforeAutospacing="0" w:after="30" w:afterAutospacing="0"/>
        <w:ind w:left="30"/>
        <w:rPr>
          <w:rFonts w:ascii="Roboto" w:hAnsi="Roboto" w:cstheme="minorHAnsi"/>
          <w:color w:val="000000"/>
          <w:sz w:val="22"/>
          <w:szCs w:val="22"/>
        </w:rPr>
      </w:pPr>
      <w:r w:rsidRPr="00485275">
        <w:rPr>
          <w:rFonts w:ascii="Roboto" w:hAnsi="Roboto" w:cstheme="minorHAnsi"/>
          <w:color w:val="000000"/>
          <w:sz w:val="22"/>
          <w:szCs w:val="22"/>
        </w:rPr>
        <w:t>- vista la nota del Presidente del Senato del 6 dicembre 2022 che ha autorizzato la Commissione a concludere l'esame del provvedimento, avendo il Governo comunicato che, per lo schema di decreto in esame, non è necessaria l'intesa della Conferenza unificata;</w:t>
      </w:r>
    </w:p>
    <w:p w14:paraId="4F9E234F" w14:textId="77777777" w:rsidR="00077740" w:rsidRPr="00485275" w:rsidRDefault="00077740" w:rsidP="00077740">
      <w:pPr>
        <w:pStyle w:val="NormaleWeb"/>
        <w:shd w:val="clear" w:color="auto" w:fill="FFFFFF"/>
        <w:spacing w:before="30" w:beforeAutospacing="0" w:after="30" w:afterAutospacing="0"/>
        <w:ind w:left="30"/>
        <w:rPr>
          <w:rFonts w:ascii="Roboto" w:hAnsi="Roboto" w:cstheme="minorHAnsi"/>
          <w:color w:val="000000"/>
          <w:sz w:val="22"/>
          <w:szCs w:val="22"/>
        </w:rPr>
      </w:pPr>
      <w:r w:rsidRPr="00485275">
        <w:rPr>
          <w:rFonts w:ascii="Roboto" w:hAnsi="Roboto" w:cstheme="minorHAnsi"/>
          <w:color w:val="000000"/>
          <w:sz w:val="22"/>
          <w:szCs w:val="22"/>
        </w:rPr>
        <w:t>- considerato che lo schema in esame apporta una serie di modifiche al decreto legislativo 3 aprile 2006, n. 152, recante norme in materia ambientale, emendato dal decreto legislativo n. 183 del 2017, con specifico riferimento alla Parte Quarta, in materia di gestione dei rifiuti e di bonifica dei siti inquinati;</w:t>
      </w:r>
    </w:p>
    <w:p w14:paraId="00BD5DCD" w14:textId="77777777" w:rsidR="00077740" w:rsidRPr="00485275" w:rsidRDefault="00077740" w:rsidP="00077740">
      <w:pPr>
        <w:pStyle w:val="NormaleWeb"/>
        <w:shd w:val="clear" w:color="auto" w:fill="FFFFFF"/>
        <w:spacing w:before="30" w:beforeAutospacing="0" w:after="30" w:afterAutospacing="0"/>
        <w:ind w:left="30"/>
        <w:rPr>
          <w:rFonts w:ascii="Roboto" w:hAnsi="Roboto" w:cstheme="minorHAnsi"/>
          <w:color w:val="000000"/>
          <w:sz w:val="22"/>
          <w:szCs w:val="22"/>
        </w:rPr>
      </w:pPr>
      <w:r w:rsidRPr="00485275">
        <w:rPr>
          <w:rFonts w:ascii="Roboto" w:hAnsi="Roboto" w:cstheme="minorHAnsi"/>
          <w:color w:val="000000"/>
          <w:sz w:val="22"/>
          <w:szCs w:val="22"/>
        </w:rPr>
        <w:t>rilevato, in particolare, che:</w:t>
      </w:r>
    </w:p>
    <w:p w14:paraId="7BC43B9D" w14:textId="77777777" w:rsidR="00077740" w:rsidRPr="00485275" w:rsidRDefault="00077740" w:rsidP="00077740">
      <w:pPr>
        <w:pStyle w:val="NormaleWeb"/>
        <w:shd w:val="clear" w:color="auto" w:fill="FFFFFF"/>
        <w:spacing w:before="30" w:beforeAutospacing="0" w:after="30" w:afterAutospacing="0"/>
        <w:ind w:left="30"/>
        <w:rPr>
          <w:rFonts w:ascii="Roboto" w:hAnsi="Roboto" w:cstheme="minorHAnsi"/>
          <w:color w:val="000000"/>
          <w:sz w:val="22"/>
          <w:szCs w:val="22"/>
        </w:rPr>
      </w:pPr>
      <w:r w:rsidRPr="00485275">
        <w:rPr>
          <w:rFonts w:ascii="Roboto" w:hAnsi="Roboto" w:cstheme="minorHAnsi"/>
          <w:color w:val="000000"/>
          <w:sz w:val="22"/>
          <w:szCs w:val="22"/>
        </w:rPr>
        <w:t>l'articolo 1:</w:t>
      </w:r>
    </w:p>
    <w:p w14:paraId="322FF471" w14:textId="77777777" w:rsidR="00077740" w:rsidRPr="00485275" w:rsidRDefault="00077740" w:rsidP="00077740">
      <w:pPr>
        <w:pStyle w:val="NormaleWeb"/>
        <w:shd w:val="clear" w:color="auto" w:fill="FFFFFF"/>
        <w:spacing w:before="30" w:beforeAutospacing="0" w:after="30" w:afterAutospacing="0"/>
        <w:ind w:left="30"/>
        <w:rPr>
          <w:rFonts w:ascii="Roboto" w:hAnsi="Roboto" w:cstheme="minorHAnsi"/>
          <w:color w:val="000000"/>
          <w:sz w:val="22"/>
          <w:szCs w:val="22"/>
        </w:rPr>
      </w:pPr>
      <w:r w:rsidRPr="00485275">
        <w:rPr>
          <w:rFonts w:ascii="Roboto" w:hAnsi="Roboto" w:cstheme="minorHAnsi"/>
          <w:color w:val="000000"/>
          <w:sz w:val="22"/>
          <w:szCs w:val="22"/>
        </w:rPr>
        <w:t>- al comma 6, lettera b), apporta modifiche all'articolo 184, comma 3, in materia di classificazione dei rifiuti speciali prodotti nei locali non funzionalmente collegati alle attività produttive industriali;</w:t>
      </w:r>
    </w:p>
    <w:p w14:paraId="74C1628C" w14:textId="77777777" w:rsidR="00077740" w:rsidRPr="00485275" w:rsidRDefault="00077740" w:rsidP="00077740">
      <w:pPr>
        <w:pStyle w:val="NormaleWeb"/>
        <w:shd w:val="clear" w:color="auto" w:fill="FFFFFF"/>
        <w:spacing w:before="30" w:beforeAutospacing="0" w:after="30" w:afterAutospacing="0"/>
        <w:ind w:left="30"/>
        <w:rPr>
          <w:rFonts w:ascii="Roboto" w:hAnsi="Roboto" w:cstheme="minorHAnsi"/>
          <w:color w:val="000000"/>
          <w:sz w:val="22"/>
          <w:szCs w:val="22"/>
        </w:rPr>
      </w:pPr>
      <w:r w:rsidRPr="00485275">
        <w:rPr>
          <w:rFonts w:ascii="Roboto" w:hAnsi="Roboto" w:cstheme="minorHAnsi"/>
          <w:color w:val="000000"/>
          <w:sz w:val="22"/>
          <w:szCs w:val="22"/>
        </w:rPr>
        <w:t>- al riguardo sarebbe opportuno, al fine di mantenere fedele all'impostazione europea la distinzione tra rifiuti urbani simili e rifiuti speciali anche per le lavorazioni industriali (in coerenza con l'analoga previsione delle attività artigianali, commerciali, sanitarie e di servizio), che i rifiuti urbani simili - quali quelli contraddistinti dai codici CER 1501 e 20 - prodotti nelle aree produttive e nelle aree funzionalmente collegate alle aree produttive siano sottratti dall'ambito di applicazione degli obiettivi europei di preparazione al riutilizzo e riciclaggio nonché alle relative norme di calcolo;</w:t>
      </w:r>
    </w:p>
    <w:p w14:paraId="39EE8A59" w14:textId="77777777" w:rsidR="00077740" w:rsidRPr="00485275" w:rsidRDefault="00077740" w:rsidP="00077740">
      <w:pPr>
        <w:pStyle w:val="NormaleWeb"/>
        <w:shd w:val="clear" w:color="auto" w:fill="FFFFFF"/>
        <w:spacing w:before="30" w:beforeAutospacing="0" w:after="30" w:afterAutospacing="0"/>
        <w:ind w:left="30"/>
        <w:rPr>
          <w:rFonts w:ascii="Roboto" w:hAnsi="Roboto" w:cstheme="minorHAnsi"/>
          <w:color w:val="000000"/>
          <w:sz w:val="22"/>
          <w:szCs w:val="22"/>
        </w:rPr>
      </w:pPr>
      <w:r w:rsidRPr="00485275">
        <w:rPr>
          <w:rFonts w:ascii="Roboto" w:hAnsi="Roboto" w:cstheme="minorHAnsi"/>
          <w:color w:val="000000"/>
          <w:sz w:val="22"/>
          <w:szCs w:val="22"/>
        </w:rPr>
        <w:t>l'articolo 6:</w:t>
      </w:r>
    </w:p>
    <w:p w14:paraId="0F3E4AFB" w14:textId="77777777" w:rsidR="00077740" w:rsidRPr="00485275" w:rsidRDefault="00077740" w:rsidP="00077740">
      <w:pPr>
        <w:pStyle w:val="NormaleWeb"/>
        <w:shd w:val="clear" w:color="auto" w:fill="FFFFFF"/>
        <w:spacing w:before="30" w:beforeAutospacing="0" w:after="30" w:afterAutospacing="0"/>
        <w:ind w:left="30"/>
        <w:rPr>
          <w:rFonts w:ascii="Roboto" w:hAnsi="Roboto" w:cstheme="minorHAnsi"/>
          <w:color w:val="000000"/>
          <w:sz w:val="22"/>
          <w:szCs w:val="22"/>
        </w:rPr>
      </w:pPr>
      <w:r w:rsidRPr="00485275">
        <w:rPr>
          <w:rFonts w:ascii="Roboto" w:hAnsi="Roboto" w:cstheme="minorHAnsi"/>
          <w:color w:val="000000"/>
          <w:sz w:val="22"/>
          <w:szCs w:val="22"/>
        </w:rPr>
        <w:t>- al comma 3, che apporta modifiche all'articolo 219-</w:t>
      </w:r>
      <w:r w:rsidRPr="00485275">
        <w:rPr>
          <w:rFonts w:ascii="Roboto" w:hAnsi="Roboto" w:cstheme="minorHAnsi"/>
          <w:i/>
          <w:iCs/>
          <w:color w:val="000000"/>
          <w:sz w:val="22"/>
          <w:szCs w:val="22"/>
        </w:rPr>
        <w:t>bis</w:t>
      </w:r>
      <w:r w:rsidRPr="00485275">
        <w:rPr>
          <w:rFonts w:ascii="Roboto" w:hAnsi="Roboto" w:cstheme="minorHAnsi"/>
          <w:color w:val="000000"/>
          <w:sz w:val="22"/>
          <w:szCs w:val="22"/>
        </w:rPr>
        <w:t> del decreto legislativo n. 152 del 2006, il quale disciplina il sistema di riutilizzo di specifiche tipologie di imballaggi, prevede che gli operatori economici, in forma individuale o in forma collettiva, adottano sistemi di restituzione con cauzione nonché sistemi per il riutilizzo degli imballaggi. I sistemi si applicano agli imballaggi in plastica, in vetro e in metallo utilizzati per acqua e per altre bevande;</w:t>
      </w:r>
    </w:p>
    <w:p w14:paraId="63CF4012" w14:textId="77777777" w:rsidR="00077740" w:rsidRPr="00485275" w:rsidRDefault="00077740" w:rsidP="00077740">
      <w:pPr>
        <w:pStyle w:val="NormaleWeb"/>
        <w:shd w:val="clear" w:color="auto" w:fill="FFFFFF"/>
        <w:spacing w:before="30" w:beforeAutospacing="0" w:after="30" w:afterAutospacing="0"/>
        <w:ind w:left="30"/>
        <w:rPr>
          <w:rFonts w:ascii="Roboto" w:hAnsi="Roboto" w:cstheme="minorHAnsi"/>
          <w:color w:val="000000"/>
          <w:sz w:val="22"/>
          <w:szCs w:val="22"/>
        </w:rPr>
      </w:pPr>
      <w:r w:rsidRPr="00485275">
        <w:rPr>
          <w:rFonts w:ascii="Roboto" w:hAnsi="Roboto" w:cstheme="minorHAnsi"/>
          <w:color w:val="000000"/>
          <w:sz w:val="22"/>
          <w:szCs w:val="22"/>
        </w:rPr>
        <w:t>- al riguardo, occorrerebbe mantenere il sistema di restituzione e riutilizzo degli imballaggi quale sistema volontario tanto in considerazione della necessità di un approfondimento della materia quanto in previsione della riforma della disciplina UE degli imballaggi la cui proposta di Regolamento è stata pubblicata lo scorso 30 novembre;</w:t>
      </w:r>
    </w:p>
    <w:p w14:paraId="20D9D7EB" w14:textId="77777777" w:rsidR="00077740" w:rsidRPr="00485275" w:rsidRDefault="00077740" w:rsidP="00077740">
      <w:pPr>
        <w:pStyle w:val="NormaleWeb"/>
        <w:shd w:val="clear" w:color="auto" w:fill="FFFFFF"/>
        <w:spacing w:before="30" w:beforeAutospacing="0" w:after="30" w:afterAutospacing="0"/>
        <w:ind w:left="30"/>
        <w:rPr>
          <w:rFonts w:ascii="Roboto" w:hAnsi="Roboto" w:cstheme="minorHAnsi"/>
          <w:color w:val="000000"/>
          <w:sz w:val="22"/>
          <w:szCs w:val="22"/>
        </w:rPr>
      </w:pPr>
      <w:r w:rsidRPr="00485275">
        <w:rPr>
          <w:rFonts w:ascii="Roboto" w:hAnsi="Roboto" w:cstheme="minorHAnsi"/>
          <w:color w:val="000000"/>
          <w:sz w:val="22"/>
          <w:szCs w:val="22"/>
        </w:rPr>
        <w:lastRenderedPageBreak/>
        <w:t>- al comma 9, lettera f), punti 1), 2) e 3), dispone le modifiche al comma 12 dell'articolo 224 del decreto legislativo n. 152 del 2006 consentendo di estendere la contrattazione degli allegati tecnici anche ai sistemi autonomi oltre che ai consorzi di filiera, estendendo altresì l'obbligo del CONAI a subentrare ad uno dei sistemi autonomi qualora non sottoscriva l'Allegato tecnico di riferimento o non raggiunga le intese necessarie con gli Enti Locali;</w:t>
      </w:r>
    </w:p>
    <w:p w14:paraId="603D22FE" w14:textId="77777777" w:rsidR="00077740" w:rsidRPr="00485275" w:rsidRDefault="00077740" w:rsidP="00077740">
      <w:pPr>
        <w:pStyle w:val="NormaleWeb"/>
        <w:shd w:val="clear" w:color="auto" w:fill="FFFFFF"/>
        <w:spacing w:before="30" w:beforeAutospacing="0" w:after="30" w:afterAutospacing="0"/>
        <w:ind w:left="30"/>
        <w:rPr>
          <w:rFonts w:ascii="Roboto" w:hAnsi="Roboto" w:cstheme="minorHAnsi"/>
          <w:color w:val="000000"/>
          <w:sz w:val="22"/>
          <w:szCs w:val="22"/>
        </w:rPr>
      </w:pPr>
      <w:r w:rsidRPr="00485275">
        <w:rPr>
          <w:rFonts w:ascii="Roboto" w:hAnsi="Roboto" w:cstheme="minorHAnsi"/>
          <w:color w:val="000000"/>
          <w:sz w:val="22"/>
          <w:szCs w:val="22"/>
        </w:rPr>
        <w:t>- al riguardo, si dovrebbe considerare che lo statuto tipo di cui all'articolo 223, comma 2, del decreto legislativo n. 152 del 2006 è stato predisposto per produttori che non organizzano autonomamente la gestione, tra i quali non rientrano i sistemi autonomi, disciplinati, invece, dagli articoli 221 e 221-</w:t>
      </w:r>
      <w:r w:rsidRPr="00485275">
        <w:rPr>
          <w:rFonts w:ascii="Roboto" w:hAnsi="Roboto" w:cstheme="minorHAnsi"/>
          <w:i/>
          <w:iCs/>
          <w:color w:val="000000"/>
          <w:sz w:val="22"/>
          <w:szCs w:val="22"/>
        </w:rPr>
        <w:t>bis</w:t>
      </w:r>
      <w:r w:rsidRPr="00485275">
        <w:rPr>
          <w:rFonts w:ascii="Roboto" w:hAnsi="Roboto" w:cstheme="minorHAnsi"/>
          <w:color w:val="000000"/>
          <w:sz w:val="22"/>
          <w:szCs w:val="22"/>
        </w:rPr>
        <w:t xml:space="preserve"> del </w:t>
      </w:r>
      <w:proofErr w:type="gramStart"/>
      <w:r w:rsidRPr="00485275">
        <w:rPr>
          <w:rFonts w:ascii="Roboto" w:hAnsi="Roboto" w:cstheme="minorHAnsi"/>
          <w:color w:val="000000"/>
          <w:sz w:val="22"/>
          <w:szCs w:val="22"/>
        </w:rPr>
        <w:t>predetto</w:t>
      </w:r>
      <w:proofErr w:type="gramEnd"/>
      <w:r w:rsidRPr="00485275">
        <w:rPr>
          <w:rFonts w:ascii="Roboto" w:hAnsi="Roboto" w:cstheme="minorHAnsi"/>
          <w:color w:val="000000"/>
          <w:sz w:val="22"/>
          <w:szCs w:val="22"/>
        </w:rPr>
        <w:t xml:space="preserve"> decreto legislativo e che anche nella materia della gestione dei rifiuti vige il principio della libera concorrenza;</w:t>
      </w:r>
    </w:p>
    <w:p w14:paraId="24745533" w14:textId="77777777" w:rsidR="00077740" w:rsidRPr="00485275" w:rsidRDefault="00077740" w:rsidP="00077740">
      <w:pPr>
        <w:pStyle w:val="NormaleWeb"/>
        <w:shd w:val="clear" w:color="auto" w:fill="FFFFFF"/>
        <w:spacing w:before="30" w:beforeAutospacing="0" w:after="30" w:afterAutospacing="0"/>
        <w:ind w:left="30"/>
        <w:rPr>
          <w:rFonts w:ascii="Roboto" w:hAnsi="Roboto" w:cstheme="minorHAnsi"/>
          <w:color w:val="000000"/>
          <w:sz w:val="22"/>
          <w:szCs w:val="22"/>
        </w:rPr>
      </w:pPr>
      <w:r w:rsidRPr="00485275">
        <w:rPr>
          <w:rFonts w:ascii="Roboto" w:hAnsi="Roboto" w:cstheme="minorHAnsi"/>
          <w:color w:val="000000"/>
          <w:sz w:val="22"/>
          <w:szCs w:val="22"/>
        </w:rPr>
        <w:t>l'articolo 9:</w:t>
      </w:r>
    </w:p>
    <w:p w14:paraId="1DF540B9" w14:textId="77777777" w:rsidR="00077740" w:rsidRPr="00485275" w:rsidRDefault="00077740" w:rsidP="00077740">
      <w:pPr>
        <w:pStyle w:val="NormaleWeb"/>
        <w:shd w:val="clear" w:color="auto" w:fill="FFFFFF"/>
        <w:spacing w:before="30" w:beforeAutospacing="0" w:after="30" w:afterAutospacing="0"/>
        <w:ind w:left="30"/>
        <w:rPr>
          <w:rFonts w:ascii="Roboto" w:hAnsi="Roboto" w:cstheme="minorHAnsi"/>
          <w:color w:val="000000"/>
          <w:sz w:val="22"/>
          <w:szCs w:val="22"/>
        </w:rPr>
      </w:pPr>
      <w:r w:rsidRPr="00485275">
        <w:rPr>
          <w:rFonts w:ascii="Roboto" w:hAnsi="Roboto" w:cstheme="minorHAnsi"/>
          <w:color w:val="000000"/>
          <w:sz w:val="22"/>
          <w:szCs w:val="22"/>
        </w:rPr>
        <w:t>- al comma 1 prevede che gli obblighi di etichettatura degli imballaggi previsti dall'articolo 219, comma 5, del decreto legislativo n. 152 del 2006, decorrano dal 1° gennaio 2023;</w:t>
      </w:r>
    </w:p>
    <w:p w14:paraId="64C0BFB6" w14:textId="77777777" w:rsidR="00077740" w:rsidRPr="00485275" w:rsidRDefault="00077740" w:rsidP="00077740">
      <w:pPr>
        <w:pStyle w:val="NormaleWeb"/>
        <w:shd w:val="clear" w:color="auto" w:fill="FFFFFF"/>
        <w:spacing w:before="30" w:beforeAutospacing="0" w:after="30" w:afterAutospacing="0"/>
        <w:ind w:left="30"/>
        <w:rPr>
          <w:rFonts w:ascii="Roboto" w:hAnsi="Roboto" w:cstheme="minorHAnsi"/>
          <w:color w:val="000000"/>
          <w:sz w:val="22"/>
          <w:szCs w:val="22"/>
        </w:rPr>
      </w:pPr>
      <w:r w:rsidRPr="00485275">
        <w:rPr>
          <w:rFonts w:ascii="Roboto" w:hAnsi="Roboto" w:cstheme="minorHAnsi"/>
          <w:color w:val="000000"/>
          <w:sz w:val="22"/>
          <w:szCs w:val="22"/>
        </w:rPr>
        <w:t>- al riguardo sarebbe opportuno posticipare la entrata in vigore degli obblighi di etichettatura ad una data successiva in considerazione della data di probabile adozione del provvedimento in esame al fine di concedere agli operatori un congruo termine per ottemperare ai suddetti obblighi;</w:t>
      </w:r>
    </w:p>
    <w:p w14:paraId="5187A666" w14:textId="77777777" w:rsidR="00077740" w:rsidRPr="00485275" w:rsidRDefault="00077740" w:rsidP="00077740">
      <w:pPr>
        <w:pStyle w:val="NormaleWeb"/>
        <w:shd w:val="clear" w:color="auto" w:fill="FFFFFF"/>
        <w:spacing w:before="30" w:beforeAutospacing="0" w:after="30" w:afterAutospacing="0"/>
        <w:ind w:left="30"/>
        <w:rPr>
          <w:rFonts w:ascii="Roboto" w:hAnsi="Roboto" w:cstheme="minorHAnsi"/>
          <w:color w:val="000000"/>
          <w:sz w:val="22"/>
          <w:szCs w:val="22"/>
        </w:rPr>
      </w:pPr>
      <w:r w:rsidRPr="00485275">
        <w:rPr>
          <w:rFonts w:ascii="Roboto" w:hAnsi="Roboto" w:cstheme="minorHAnsi"/>
          <w:color w:val="000000"/>
          <w:sz w:val="22"/>
          <w:szCs w:val="22"/>
        </w:rPr>
        <w:t>esprime parere favorevole, con le seguenti osservazioni:</w:t>
      </w:r>
    </w:p>
    <w:p w14:paraId="5C076581" w14:textId="77777777" w:rsidR="00077740" w:rsidRPr="00485275" w:rsidRDefault="00077740" w:rsidP="00077740">
      <w:pPr>
        <w:pStyle w:val="NormaleWeb"/>
        <w:shd w:val="clear" w:color="auto" w:fill="FFFFFF"/>
        <w:spacing w:before="30" w:beforeAutospacing="0" w:after="30" w:afterAutospacing="0"/>
        <w:ind w:left="30"/>
        <w:rPr>
          <w:rFonts w:ascii="Roboto" w:hAnsi="Roboto" w:cstheme="minorHAnsi"/>
          <w:color w:val="000000"/>
          <w:sz w:val="22"/>
          <w:szCs w:val="22"/>
        </w:rPr>
      </w:pPr>
      <w:r w:rsidRPr="00485275">
        <w:rPr>
          <w:rFonts w:ascii="Roboto" w:hAnsi="Roboto" w:cstheme="minorHAnsi"/>
          <w:color w:val="000000"/>
          <w:sz w:val="22"/>
          <w:szCs w:val="22"/>
        </w:rPr>
        <w:t>valuti il Governo l'opportunità di apportare allo schema di decreto legislativo in esame le seguenti modifiche:</w:t>
      </w:r>
    </w:p>
    <w:p w14:paraId="22CDE686" w14:textId="77777777" w:rsidR="00077740" w:rsidRPr="00485275" w:rsidRDefault="00077740" w:rsidP="00077740">
      <w:pPr>
        <w:pStyle w:val="NormaleWeb"/>
        <w:shd w:val="clear" w:color="auto" w:fill="FFFFFF"/>
        <w:spacing w:before="30" w:beforeAutospacing="0" w:after="30" w:afterAutospacing="0"/>
        <w:ind w:left="30"/>
        <w:rPr>
          <w:rFonts w:ascii="Roboto" w:hAnsi="Roboto" w:cstheme="minorHAnsi"/>
          <w:color w:val="000000"/>
          <w:sz w:val="22"/>
          <w:szCs w:val="22"/>
        </w:rPr>
      </w:pPr>
      <w:r w:rsidRPr="00485275">
        <w:rPr>
          <w:rFonts w:ascii="Roboto" w:hAnsi="Roboto" w:cstheme="minorHAnsi"/>
          <w:color w:val="000000"/>
          <w:sz w:val="22"/>
          <w:szCs w:val="22"/>
        </w:rPr>
        <w:t>a) mantenere la formulazione attualmente in vigore del comma 3, lettera c), dell'articolo 184 del decreto legislativo n. 152 del 2006;</w:t>
      </w:r>
    </w:p>
    <w:p w14:paraId="5011624B" w14:textId="77777777" w:rsidR="00077740" w:rsidRPr="00485275" w:rsidRDefault="00077740" w:rsidP="00077740">
      <w:pPr>
        <w:pStyle w:val="NormaleWeb"/>
        <w:shd w:val="clear" w:color="auto" w:fill="FFFFFF"/>
        <w:spacing w:before="30" w:beforeAutospacing="0" w:after="30" w:afterAutospacing="0"/>
        <w:ind w:left="30"/>
        <w:rPr>
          <w:rFonts w:ascii="Roboto" w:hAnsi="Roboto" w:cstheme="minorHAnsi"/>
          <w:color w:val="000000"/>
          <w:sz w:val="22"/>
          <w:szCs w:val="22"/>
        </w:rPr>
      </w:pPr>
      <w:r w:rsidRPr="00485275">
        <w:rPr>
          <w:rFonts w:ascii="Roboto" w:hAnsi="Roboto" w:cstheme="minorHAnsi"/>
          <w:color w:val="000000"/>
          <w:sz w:val="22"/>
          <w:szCs w:val="22"/>
        </w:rPr>
        <w:t>b) mantenere la formulazione attualmente in vigore dell'articolo 219-</w:t>
      </w:r>
      <w:r w:rsidRPr="00485275">
        <w:rPr>
          <w:rFonts w:ascii="Roboto" w:hAnsi="Roboto" w:cstheme="minorHAnsi"/>
          <w:i/>
          <w:iCs/>
          <w:color w:val="000000"/>
          <w:sz w:val="22"/>
          <w:szCs w:val="22"/>
        </w:rPr>
        <w:t>bis</w:t>
      </w:r>
      <w:r w:rsidRPr="00485275">
        <w:rPr>
          <w:rFonts w:ascii="Roboto" w:hAnsi="Roboto" w:cstheme="minorHAnsi"/>
          <w:color w:val="000000"/>
          <w:sz w:val="22"/>
          <w:szCs w:val="22"/>
        </w:rPr>
        <w:t> del decreto legislativo n. 152 del 2006;</w:t>
      </w:r>
    </w:p>
    <w:p w14:paraId="45F4B941" w14:textId="77777777" w:rsidR="00077740" w:rsidRPr="00485275" w:rsidRDefault="00077740" w:rsidP="00077740">
      <w:pPr>
        <w:pStyle w:val="NormaleWeb"/>
        <w:shd w:val="clear" w:color="auto" w:fill="FFFFFF"/>
        <w:spacing w:before="30" w:beforeAutospacing="0" w:after="30" w:afterAutospacing="0"/>
        <w:ind w:left="30"/>
        <w:rPr>
          <w:rFonts w:ascii="Roboto" w:hAnsi="Roboto" w:cstheme="minorHAnsi"/>
          <w:color w:val="000000"/>
          <w:sz w:val="22"/>
          <w:szCs w:val="22"/>
        </w:rPr>
      </w:pPr>
      <w:r w:rsidRPr="00485275">
        <w:rPr>
          <w:rFonts w:ascii="Roboto" w:hAnsi="Roboto" w:cstheme="minorHAnsi"/>
          <w:color w:val="000000"/>
          <w:sz w:val="22"/>
          <w:szCs w:val="22"/>
        </w:rPr>
        <w:t>c) mantenere la formulazione attualmente in vigore del comma 12 dell'articolo 224 del decreto legislativo n. 152 del 2006;</w:t>
      </w:r>
    </w:p>
    <w:p w14:paraId="5873BC91" w14:textId="77777777" w:rsidR="00077740" w:rsidRPr="00485275" w:rsidRDefault="00077740" w:rsidP="00077740">
      <w:pPr>
        <w:pStyle w:val="NormaleWeb"/>
        <w:shd w:val="clear" w:color="auto" w:fill="FFFFFF"/>
        <w:spacing w:before="30" w:beforeAutospacing="0" w:after="30" w:afterAutospacing="0"/>
        <w:ind w:left="30"/>
        <w:rPr>
          <w:rFonts w:ascii="Roboto" w:hAnsi="Roboto" w:cstheme="minorHAnsi"/>
          <w:color w:val="000000"/>
          <w:sz w:val="22"/>
          <w:szCs w:val="22"/>
        </w:rPr>
      </w:pPr>
      <w:r w:rsidRPr="00485275">
        <w:rPr>
          <w:rFonts w:ascii="Roboto" w:hAnsi="Roboto" w:cstheme="minorHAnsi"/>
          <w:color w:val="000000"/>
          <w:sz w:val="22"/>
          <w:szCs w:val="22"/>
        </w:rPr>
        <w:t>d) prevedere che il pagamento del contributo ambientale di cui al comma 8 dell'articolo 237 del decreto legislativo n. 152 del 2006, che attua il principio del </w:t>
      </w:r>
      <w:r w:rsidRPr="00485275">
        <w:rPr>
          <w:rFonts w:ascii="Roboto" w:hAnsi="Roboto" w:cstheme="minorHAnsi"/>
          <w:i/>
          <w:iCs/>
          <w:color w:val="000000"/>
          <w:sz w:val="22"/>
          <w:szCs w:val="22"/>
        </w:rPr>
        <w:t>ne bis in idem</w:t>
      </w:r>
      <w:r w:rsidRPr="00485275">
        <w:rPr>
          <w:rFonts w:ascii="Roboto" w:hAnsi="Roboto" w:cstheme="minorHAnsi"/>
          <w:color w:val="000000"/>
          <w:sz w:val="22"/>
          <w:szCs w:val="22"/>
        </w:rPr>
        <w:t>, ad un sistema collettivo, ovvero ad un consorzio </w:t>
      </w:r>
      <w:r w:rsidRPr="00485275">
        <w:rPr>
          <w:rFonts w:ascii="Roboto" w:hAnsi="Roboto" w:cstheme="minorHAnsi"/>
          <w:i/>
          <w:iCs/>
          <w:color w:val="000000"/>
          <w:sz w:val="22"/>
          <w:szCs w:val="22"/>
        </w:rPr>
        <w:t>ex lege</w:t>
      </w:r>
      <w:r w:rsidRPr="00485275">
        <w:rPr>
          <w:rFonts w:ascii="Roboto" w:hAnsi="Roboto" w:cstheme="minorHAnsi"/>
          <w:color w:val="000000"/>
          <w:sz w:val="22"/>
          <w:szCs w:val="22"/>
        </w:rPr>
        <w:t> così come ad un sistema alternativo, esclude l'assoggettamento del medesimo bene, e delle materie prime che lo costituiscono, ad altro contributo ambientale, con conseguente soppressione dell'articolo 224, comma 9, per incompatibilità;</w:t>
      </w:r>
    </w:p>
    <w:p w14:paraId="6B15EB3A" w14:textId="77777777" w:rsidR="00077740" w:rsidRPr="00485275" w:rsidRDefault="00077740" w:rsidP="00077740">
      <w:pPr>
        <w:pStyle w:val="NormaleWeb"/>
        <w:shd w:val="clear" w:color="auto" w:fill="FFFFFF"/>
        <w:spacing w:before="30" w:beforeAutospacing="0" w:after="30" w:afterAutospacing="0"/>
        <w:ind w:left="30"/>
        <w:rPr>
          <w:rFonts w:ascii="Roboto" w:hAnsi="Roboto" w:cstheme="minorHAnsi"/>
          <w:color w:val="000000"/>
          <w:sz w:val="22"/>
          <w:szCs w:val="22"/>
        </w:rPr>
      </w:pPr>
      <w:r w:rsidRPr="00485275">
        <w:rPr>
          <w:rFonts w:ascii="Roboto" w:hAnsi="Roboto" w:cstheme="minorHAnsi"/>
          <w:color w:val="000000"/>
          <w:sz w:val="22"/>
          <w:szCs w:val="22"/>
        </w:rPr>
        <w:t>e) prevedere una procedura specifica relativa agli obblighi del Registro elettronico nazionale nel caso di rifiuti pericolosi prodotti da attività d'impresa con sedi operative mobili (ad esempio, cantieri edili);</w:t>
      </w:r>
    </w:p>
    <w:p w14:paraId="42EE0722" w14:textId="77777777" w:rsidR="00077740" w:rsidRPr="00485275" w:rsidRDefault="00077740" w:rsidP="00077740">
      <w:pPr>
        <w:pStyle w:val="NormaleWeb"/>
        <w:shd w:val="clear" w:color="auto" w:fill="FFFFFF"/>
        <w:spacing w:before="30" w:beforeAutospacing="0" w:after="30" w:afterAutospacing="0"/>
        <w:ind w:left="30"/>
        <w:rPr>
          <w:rFonts w:ascii="Roboto" w:hAnsi="Roboto" w:cstheme="minorHAnsi"/>
          <w:color w:val="000000"/>
          <w:sz w:val="22"/>
          <w:szCs w:val="22"/>
        </w:rPr>
      </w:pPr>
      <w:r w:rsidRPr="00485275">
        <w:rPr>
          <w:rFonts w:ascii="Roboto" w:hAnsi="Roboto" w:cstheme="minorHAnsi"/>
          <w:color w:val="000000"/>
          <w:sz w:val="22"/>
          <w:szCs w:val="22"/>
        </w:rPr>
        <w:t xml:space="preserve">f) </w:t>
      </w:r>
      <w:bookmarkStart w:id="0" w:name="_Hlk121996550"/>
      <w:r w:rsidRPr="00485275">
        <w:rPr>
          <w:rFonts w:ascii="Roboto" w:hAnsi="Roboto" w:cstheme="minorHAnsi"/>
          <w:color w:val="000000"/>
          <w:sz w:val="22"/>
          <w:szCs w:val="22"/>
        </w:rPr>
        <w:t>prevedere il posticipo della data di entrata in vigore degli obblighi di etichettatura</w:t>
      </w:r>
      <w:bookmarkEnd w:id="0"/>
      <w:r w:rsidRPr="00485275">
        <w:rPr>
          <w:rFonts w:ascii="Roboto" w:hAnsi="Roboto" w:cstheme="minorHAnsi"/>
          <w:color w:val="000000"/>
          <w:sz w:val="22"/>
          <w:szCs w:val="22"/>
        </w:rPr>
        <w:t>.</w:t>
      </w:r>
    </w:p>
    <w:p w14:paraId="66760696" w14:textId="77777777" w:rsidR="00077740" w:rsidRPr="00485275" w:rsidRDefault="00077740" w:rsidP="00077740">
      <w:pPr>
        <w:rPr>
          <w:rFonts w:ascii="Roboto" w:hAnsi="Roboto" w:cstheme="minorHAnsi"/>
        </w:rPr>
      </w:pPr>
    </w:p>
    <w:sectPr w:rsidR="00077740" w:rsidRPr="0048527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740"/>
    <w:rsid w:val="00077740"/>
    <w:rsid w:val="00485275"/>
    <w:rsid w:val="00E201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01345"/>
  <w15:chartTrackingRefBased/>
  <w15:docId w15:val="{376FEA27-07BD-471C-A1D2-BEC4D08DB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077740"/>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29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79FCD8889C1524E990618C7FFD0ABC1" ma:contentTypeVersion="13" ma:contentTypeDescription="Creare un nuovo documento." ma:contentTypeScope="" ma:versionID="c3a2970d6209bf9f83023687f8295533">
  <xsd:schema xmlns:xsd="http://www.w3.org/2001/XMLSchema" xmlns:xs="http://www.w3.org/2001/XMLSchema" xmlns:p="http://schemas.microsoft.com/office/2006/metadata/properties" xmlns:ns2="480d74a7-71b5-4999-8c9c-7d38ace181e7" xmlns:ns3="ec8d93ac-597f-4446-99e4-ac4cf18b6406" targetNamespace="http://schemas.microsoft.com/office/2006/metadata/properties" ma:root="true" ma:fieldsID="9637b7e14fd6e708a71ebf2f1a4c540f" ns2:_="" ns3:_="">
    <xsd:import namespace="480d74a7-71b5-4999-8c9c-7d38ace181e7"/>
    <xsd:import namespace="ec8d93ac-597f-4446-99e4-ac4cf18b64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0d74a7-71b5-4999-8c9c-7d38ace181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c5a36491-74e0-4c35-a6f0-68b60f884cc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c8d93ac-597f-4446-99e4-ac4cf18b640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6e60a05-7ea1-410a-9c10-26d04805bd25}" ma:internalName="TaxCatchAll" ma:showField="CatchAllData" ma:web="ec8d93ac-597f-4446-99e4-ac4cf18b64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D67416-05DE-4DA9-B00D-BCA3D008D110}"/>
</file>

<file path=customXml/itemProps2.xml><?xml version="1.0" encoding="utf-8"?>
<ds:datastoreItem xmlns:ds="http://schemas.openxmlformats.org/officeDocument/2006/customXml" ds:itemID="{9B63E346-325C-46F2-84C2-D154F7852997}"/>
</file>

<file path=docProps/app.xml><?xml version="1.0" encoding="utf-8"?>
<Properties xmlns="http://schemas.openxmlformats.org/officeDocument/2006/extended-properties" xmlns:vt="http://schemas.openxmlformats.org/officeDocument/2006/docPropsVTypes">
  <Template>Normal</Template>
  <TotalTime>5</TotalTime>
  <Pages>2</Pages>
  <Words>1016</Words>
  <Characters>5795</Characters>
  <Application>Microsoft Office Word</Application>
  <DocSecurity>0</DocSecurity>
  <Lines>48</Lines>
  <Paragraphs>13</Paragraphs>
  <ScaleCrop>false</ScaleCrop>
  <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Papaduli Chiara</dc:creator>
  <cp:keywords/>
  <dc:description/>
  <cp:lastModifiedBy>Papaduli Chiara</cp:lastModifiedBy>
  <cp:revision>4</cp:revision>
  <dcterms:created xsi:type="dcterms:W3CDTF">2022-12-15T10:32:00Z</dcterms:created>
  <dcterms:modified xsi:type="dcterms:W3CDTF">2022-12-15T10:38:00Z</dcterms:modified>
</cp:coreProperties>
</file>