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1308" w14:textId="12F2775B" w:rsidR="00C759B5" w:rsidRPr="008A0A06" w:rsidRDefault="00C759B5" w:rsidP="00CC2195">
      <w:pPr>
        <w:jc w:val="center"/>
        <w:textAlignment w:val="baseline"/>
        <w:rPr>
          <w:rFonts w:eastAsia="Times New Roman"/>
          <w:b/>
          <w:bCs/>
          <w:u w:val="single"/>
          <w:lang w:eastAsia="it-IT"/>
        </w:rPr>
      </w:pPr>
      <w:r w:rsidRPr="008A0A06">
        <w:rPr>
          <w:rFonts w:eastAsia="Times New Roman"/>
          <w:b/>
          <w:bCs/>
          <w:u w:val="single"/>
          <w:lang w:eastAsia="it-IT"/>
        </w:rPr>
        <w:t xml:space="preserve">Nota di sintesi Disegno di Legge </w:t>
      </w:r>
      <w:r w:rsidR="00CC2195" w:rsidRPr="008A0A06">
        <w:rPr>
          <w:rFonts w:eastAsia="Times New Roman"/>
          <w:b/>
          <w:bCs/>
          <w:u w:val="single"/>
          <w:lang w:eastAsia="it-IT"/>
        </w:rPr>
        <w:t>di delegazione europea 2019-2020</w:t>
      </w:r>
    </w:p>
    <w:p w14:paraId="5D607DE5" w14:textId="77777777" w:rsidR="00C759B5" w:rsidRDefault="00C759B5" w:rsidP="00EB41A8">
      <w:pPr>
        <w:textAlignment w:val="baseline"/>
        <w:rPr>
          <w:rFonts w:eastAsia="Times New Roman"/>
          <w:lang w:eastAsia="it-IT"/>
        </w:rPr>
      </w:pPr>
    </w:p>
    <w:p w14:paraId="022E714E" w14:textId="1B81CB49" w:rsidR="00AB4CF4" w:rsidRDefault="00AB4CF4" w:rsidP="00EB41A8">
      <w:pPr>
        <w:textAlignment w:val="baseline"/>
        <w:rPr>
          <w:rFonts w:eastAsia="Times New Roman"/>
          <w:lang w:eastAsia="it-IT"/>
        </w:rPr>
      </w:pPr>
      <w:r>
        <w:rPr>
          <w:rFonts w:eastAsia="Times New Roman"/>
          <w:lang w:eastAsia="it-IT"/>
        </w:rPr>
        <w:t xml:space="preserve">Di seguito una breve sintesi dei principali contenuti del </w:t>
      </w:r>
      <w:proofErr w:type="spellStart"/>
      <w:r>
        <w:rPr>
          <w:rFonts w:eastAsia="Times New Roman"/>
          <w:lang w:eastAsia="it-IT"/>
        </w:rPr>
        <w:t>DdL</w:t>
      </w:r>
      <w:proofErr w:type="spellEnd"/>
      <w:r w:rsidR="00EB41A8">
        <w:rPr>
          <w:rFonts w:eastAsia="Times New Roman"/>
          <w:lang w:eastAsia="it-IT"/>
        </w:rPr>
        <w:t xml:space="preserve"> in materia di ambiente ed energia:</w:t>
      </w:r>
    </w:p>
    <w:p w14:paraId="550519D0" w14:textId="77777777" w:rsidR="00EB41A8" w:rsidRDefault="00EB41A8" w:rsidP="00EB41A8">
      <w:pPr>
        <w:textAlignment w:val="baseline"/>
        <w:rPr>
          <w:rFonts w:eastAsia="Times New Roman"/>
          <w:lang w:eastAsia="it-IT"/>
        </w:rPr>
      </w:pPr>
    </w:p>
    <w:p w14:paraId="7031DD5C" w14:textId="7359DD25" w:rsidR="00AB4CF4" w:rsidRPr="00AB4CF4" w:rsidRDefault="00EB41A8" w:rsidP="00EB41A8">
      <w:pPr>
        <w:textAlignment w:val="baseline"/>
        <w:rPr>
          <w:rFonts w:ascii="Segoe UI" w:eastAsia="Times New Roman" w:hAnsi="Segoe UI" w:cs="Segoe UI"/>
          <w:sz w:val="18"/>
          <w:szCs w:val="18"/>
          <w:lang w:eastAsia="it-IT"/>
        </w:rPr>
      </w:pPr>
      <w:r>
        <w:rPr>
          <w:rFonts w:eastAsia="Times New Roman"/>
          <w:lang w:eastAsia="it-IT"/>
        </w:rPr>
        <w:t>L</w:t>
      </w:r>
      <w:r w:rsidR="00AB4CF4" w:rsidRPr="00AB4CF4">
        <w:rPr>
          <w:rFonts w:eastAsia="Times New Roman"/>
          <w:lang w:eastAsia="it-IT"/>
        </w:rPr>
        <w:t>’</w:t>
      </w:r>
      <w:r w:rsidR="00AB4CF4" w:rsidRPr="00AB4CF4">
        <w:rPr>
          <w:rFonts w:eastAsia="Times New Roman"/>
          <w:b/>
          <w:bCs/>
          <w:lang w:eastAsia="it-IT"/>
        </w:rPr>
        <w:t>Articolo 5 </w:t>
      </w:r>
      <w:r w:rsidR="00AB4CF4" w:rsidRPr="00AB4CF4">
        <w:rPr>
          <w:rFonts w:eastAsia="Times New Roman"/>
          <w:lang w:eastAsia="it-IT"/>
        </w:rPr>
        <w:t>detta i princìpi ed i criteri direttivi per l’attuazione della </w:t>
      </w:r>
      <w:r w:rsidR="00AB4CF4" w:rsidRPr="00AB4CF4">
        <w:rPr>
          <w:rFonts w:eastAsia="Times New Roman"/>
          <w:b/>
          <w:bCs/>
          <w:lang w:eastAsia="it-IT"/>
        </w:rPr>
        <w:t>direttiva (UE) 2018/2001</w:t>
      </w:r>
      <w:r w:rsidR="00AB4CF4" w:rsidRPr="00AB4CF4">
        <w:rPr>
          <w:rFonts w:eastAsia="Times New Roman"/>
          <w:lang w:eastAsia="it-IT"/>
        </w:rPr>
        <w:t>, sulla </w:t>
      </w:r>
      <w:r w:rsidR="00AB4CF4" w:rsidRPr="00AB4CF4">
        <w:rPr>
          <w:rFonts w:eastAsia="Times New Roman"/>
          <w:b/>
          <w:bCs/>
          <w:lang w:eastAsia="it-IT"/>
        </w:rPr>
        <w:t>promozione dell’uso dell’energia da fonti rinnovabili, prevedendo:</w:t>
      </w:r>
      <w:r w:rsidR="00AB4CF4" w:rsidRPr="00AB4CF4">
        <w:rPr>
          <w:rFonts w:eastAsia="Times New Roman"/>
          <w:lang w:eastAsia="it-IT"/>
        </w:rPr>
        <w:t>  </w:t>
      </w:r>
    </w:p>
    <w:p w14:paraId="44060044" w14:textId="77777777" w:rsidR="00AB4CF4" w:rsidRPr="00AB4CF4" w:rsidRDefault="00AB4CF4" w:rsidP="00EB41A8">
      <w:pPr>
        <w:numPr>
          <w:ilvl w:val="0"/>
          <w:numId w:val="8"/>
        </w:numPr>
        <w:ind w:left="1080" w:firstLine="0"/>
        <w:textAlignment w:val="baseline"/>
        <w:rPr>
          <w:rFonts w:eastAsia="Times New Roman"/>
          <w:lang w:eastAsia="it-IT"/>
        </w:rPr>
      </w:pPr>
      <w:r w:rsidRPr="00AB4CF4">
        <w:rPr>
          <w:rFonts w:eastAsia="Times New Roman"/>
          <w:lang w:eastAsia="it-IT"/>
        </w:rPr>
        <w:t>la definizione di una </w:t>
      </w:r>
      <w:r w:rsidRPr="00AB4CF4">
        <w:rPr>
          <w:rFonts w:eastAsia="Times New Roman"/>
          <w:b/>
          <w:bCs/>
          <w:lang w:eastAsia="it-IT"/>
        </w:rPr>
        <w:t>disciplina per l’individuazione delle superfici e delle aree idonee e non idonee per l’installazione di impianti a fonti rinnovabil</w:t>
      </w:r>
      <w:r w:rsidRPr="00AB4CF4">
        <w:rPr>
          <w:rFonts w:eastAsia="Times New Roman"/>
          <w:lang w:eastAsia="it-IT"/>
        </w:rPr>
        <w:t>i perseguendo i principi della minimizzazione degli impatti sull’ambiente, territorio e paesaggio ma considerando la necessità di </w:t>
      </w:r>
      <w:r w:rsidRPr="00AB4CF4">
        <w:rPr>
          <w:rFonts w:eastAsia="Times New Roman"/>
          <w:b/>
          <w:bCs/>
          <w:lang w:eastAsia="it-IT"/>
        </w:rPr>
        <w:t>raggiungere gli obiettivi del PNIEC</w:t>
      </w:r>
      <w:r w:rsidRPr="00AB4CF4">
        <w:rPr>
          <w:rFonts w:eastAsia="Times New Roman"/>
          <w:lang w:eastAsia="it-IT"/>
        </w:rPr>
        <w:t> e </w:t>
      </w:r>
      <w:r w:rsidRPr="00AB4CF4">
        <w:rPr>
          <w:rFonts w:eastAsia="Times New Roman"/>
          <w:b/>
          <w:bCs/>
          <w:lang w:eastAsia="it-IT"/>
        </w:rPr>
        <w:t>tenendone in considerazione i costi</w:t>
      </w:r>
      <w:r w:rsidRPr="00AB4CF4">
        <w:rPr>
          <w:rFonts w:eastAsia="Times New Roman"/>
          <w:lang w:eastAsia="it-IT"/>
        </w:rPr>
        <w:t>. La disciplina dovrà recare criteri per la </w:t>
      </w:r>
      <w:r w:rsidRPr="00AB4CF4">
        <w:rPr>
          <w:rFonts w:eastAsia="Times New Roman"/>
          <w:b/>
          <w:bCs/>
          <w:lang w:eastAsia="it-IT"/>
        </w:rPr>
        <w:t>ripartizione fra regioni e province autonome</w:t>
      </w:r>
      <w:r w:rsidRPr="00AB4CF4">
        <w:rPr>
          <w:rFonts w:eastAsia="Times New Roman"/>
          <w:lang w:eastAsia="it-IT"/>
        </w:rPr>
        <w:t> (entro sei mesi dovrà essere programmata l’individuazione delle aree da parte degli enti territoriali), prevedere misure di salvaguardia delle iniziative di sviluppo in corso e chiarire le specifiche competenze dei Ministeri coinvolti (</w:t>
      </w:r>
      <w:proofErr w:type="spellStart"/>
      <w:r w:rsidRPr="00AB4CF4">
        <w:rPr>
          <w:rFonts w:eastAsia="Times New Roman"/>
          <w:lang w:eastAsia="it-IT"/>
        </w:rPr>
        <w:t>MiSE</w:t>
      </w:r>
      <w:proofErr w:type="spellEnd"/>
      <w:r w:rsidRPr="00AB4CF4">
        <w:rPr>
          <w:rFonts w:eastAsia="Times New Roman"/>
          <w:lang w:eastAsia="it-IT"/>
        </w:rPr>
        <w:t>, </w:t>
      </w:r>
      <w:proofErr w:type="spellStart"/>
      <w:r w:rsidRPr="00AB4CF4">
        <w:rPr>
          <w:rFonts w:eastAsia="Times New Roman"/>
          <w:lang w:eastAsia="it-IT"/>
        </w:rPr>
        <w:t>MiTE</w:t>
      </w:r>
      <w:proofErr w:type="spellEnd"/>
      <w:r w:rsidRPr="00AB4CF4">
        <w:rPr>
          <w:rFonts w:eastAsia="Times New Roman"/>
          <w:lang w:eastAsia="it-IT"/>
        </w:rPr>
        <w:t>, </w:t>
      </w:r>
      <w:proofErr w:type="spellStart"/>
      <w:r w:rsidRPr="00AB4CF4">
        <w:rPr>
          <w:rFonts w:eastAsia="Times New Roman"/>
          <w:lang w:eastAsia="it-IT"/>
        </w:rPr>
        <w:t>MiC</w:t>
      </w:r>
      <w:proofErr w:type="spellEnd"/>
      <w:r w:rsidRPr="00AB4CF4">
        <w:rPr>
          <w:rFonts w:eastAsia="Times New Roman"/>
          <w:lang w:eastAsia="it-IT"/>
        </w:rPr>
        <w:t> e Mipaaf). L’individuazione delle aree idonee dovrà avvenire </w:t>
      </w:r>
      <w:r w:rsidRPr="00AB4CF4">
        <w:rPr>
          <w:rFonts w:eastAsia="Times New Roman"/>
          <w:b/>
          <w:bCs/>
          <w:lang w:eastAsia="it-IT"/>
        </w:rPr>
        <w:t>privilegiando l’utilizzo di superfici di strutture edificate</w:t>
      </w:r>
      <w:r w:rsidRPr="00AB4CF4">
        <w:rPr>
          <w:rFonts w:eastAsia="Times New Roman"/>
          <w:lang w:eastAsia="it-IT"/>
        </w:rPr>
        <w:t>, quali capannoni industriali e parcheggi, e aree non utilizzabili per altri scopi, compatibilmente con le caratteristiche e le disponibilità delle risorse rinnovabili, </w:t>
      </w:r>
      <w:r w:rsidRPr="00AB4CF4">
        <w:rPr>
          <w:rFonts w:eastAsia="Times New Roman"/>
          <w:b/>
          <w:bCs/>
          <w:lang w:eastAsia="it-IT"/>
        </w:rPr>
        <w:t>delle infrastrutture di rete e della domanda elettrica</w:t>
      </w:r>
      <w:r w:rsidRPr="00AB4CF4">
        <w:rPr>
          <w:rFonts w:eastAsia="Times New Roman"/>
          <w:lang w:eastAsia="it-IT"/>
        </w:rPr>
        <w:t>, nonché </w:t>
      </w:r>
      <w:r w:rsidRPr="00AB4CF4">
        <w:rPr>
          <w:rFonts w:eastAsia="Times New Roman"/>
          <w:b/>
          <w:bCs/>
          <w:lang w:eastAsia="it-IT"/>
        </w:rPr>
        <w:t>tenendo in considerazione</w:t>
      </w:r>
      <w:r w:rsidRPr="00AB4CF4">
        <w:rPr>
          <w:rFonts w:eastAsia="Times New Roman"/>
          <w:lang w:eastAsia="it-IT"/>
        </w:rPr>
        <w:t> la dislocazione della domanda, gli eventuali </w:t>
      </w:r>
      <w:r w:rsidRPr="00AB4CF4">
        <w:rPr>
          <w:rFonts w:eastAsia="Times New Roman"/>
          <w:b/>
          <w:bCs/>
          <w:lang w:eastAsia="it-IT"/>
        </w:rPr>
        <w:t>vincoli di rete e il suo potenziale sviluppo</w:t>
      </w:r>
      <w:r w:rsidRPr="00AB4CF4">
        <w:rPr>
          <w:rFonts w:eastAsia="Times New Roman"/>
          <w:lang w:eastAsia="it-IT"/>
        </w:rPr>
        <w:t>. Saranno altresì individuate </w:t>
      </w:r>
      <w:r w:rsidRPr="00AB4CF4">
        <w:rPr>
          <w:rFonts w:eastAsia="Times New Roman"/>
          <w:b/>
          <w:bCs/>
          <w:lang w:eastAsia="it-IT"/>
        </w:rPr>
        <w:t>procedure abilitative semplificate</w:t>
      </w:r>
      <w:r w:rsidRPr="00AB4CF4">
        <w:rPr>
          <w:rFonts w:eastAsia="Times New Roman"/>
          <w:lang w:eastAsia="it-IT"/>
        </w:rPr>
        <w:t> sia per i </w:t>
      </w:r>
      <w:r w:rsidRPr="00AB4CF4">
        <w:rPr>
          <w:rFonts w:eastAsia="Times New Roman"/>
          <w:b/>
          <w:bCs/>
          <w:lang w:eastAsia="it-IT"/>
        </w:rPr>
        <w:t>nuovi impianti nelle aree idonee</w:t>
      </w:r>
      <w:r w:rsidRPr="00AB4CF4">
        <w:rPr>
          <w:rFonts w:eastAsia="Times New Roman"/>
          <w:lang w:eastAsia="it-IT"/>
        </w:rPr>
        <w:t> che per il </w:t>
      </w:r>
      <w:r w:rsidRPr="00AB4CF4">
        <w:rPr>
          <w:rFonts w:eastAsia="Times New Roman"/>
          <w:b/>
          <w:bCs/>
          <w:lang w:eastAsia="it-IT"/>
        </w:rPr>
        <w:t>rifacimento o potenziamento di impianti esistenti</w:t>
      </w:r>
      <w:r w:rsidRPr="00AB4CF4">
        <w:rPr>
          <w:rFonts w:eastAsia="Times New Roman"/>
          <w:lang w:eastAsia="it-IT"/>
        </w:rPr>
        <w:t>, oltre che per la costruzione e l’esercizio delle </w:t>
      </w:r>
      <w:r w:rsidRPr="00AB4CF4">
        <w:rPr>
          <w:rFonts w:eastAsia="Times New Roman"/>
          <w:b/>
          <w:bCs/>
          <w:lang w:eastAsia="it-IT"/>
        </w:rPr>
        <w:t>infrastrutture di ricarica di veicoli elettrici</w:t>
      </w:r>
      <w:r w:rsidRPr="00AB4CF4">
        <w:rPr>
          <w:rFonts w:eastAsia="Times New Roman"/>
          <w:lang w:eastAsia="it-IT"/>
        </w:rPr>
        <w:t>. </w:t>
      </w:r>
    </w:p>
    <w:p w14:paraId="354515A2" w14:textId="77777777" w:rsidR="00AB4CF4" w:rsidRPr="00AB4CF4" w:rsidRDefault="00AB4CF4" w:rsidP="00EB41A8">
      <w:pPr>
        <w:numPr>
          <w:ilvl w:val="0"/>
          <w:numId w:val="8"/>
        </w:numPr>
        <w:ind w:left="1080" w:firstLine="0"/>
        <w:textAlignment w:val="baseline"/>
        <w:rPr>
          <w:rFonts w:eastAsia="Times New Roman"/>
          <w:lang w:eastAsia="it-IT"/>
        </w:rPr>
      </w:pPr>
      <w:r w:rsidRPr="00AB4CF4">
        <w:rPr>
          <w:rFonts w:eastAsia="Times New Roman"/>
          <w:lang w:eastAsia="it-IT"/>
        </w:rPr>
        <w:t>la </w:t>
      </w:r>
      <w:r w:rsidRPr="00AB4CF4">
        <w:rPr>
          <w:rFonts w:eastAsia="Times New Roman"/>
          <w:b/>
          <w:bCs/>
          <w:lang w:eastAsia="it-IT"/>
        </w:rPr>
        <w:t>promozione delle comunità di energia rinnovabile</w:t>
      </w:r>
      <w:r w:rsidRPr="00AB4CF4">
        <w:rPr>
          <w:rFonts w:eastAsia="Times New Roman"/>
          <w:lang w:eastAsia="it-IT"/>
        </w:rPr>
        <w:t> ed il </w:t>
      </w:r>
      <w:r w:rsidRPr="00AB4CF4">
        <w:rPr>
          <w:rFonts w:eastAsia="Times New Roman"/>
          <w:b/>
          <w:bCs/>
          <w:lang w:eastAsia="it-IT"/>
        </w:rPr>
        <w:t>riordino</w:t>
      </w:r>
      <w:r w:rsidRPr="00AB4CF4">
        <w:rPr>
          <w:rFonts w:eastAsia="Times New Roman"/>
          <w:lang w:eastAsia="it-IT"/>
        </w:rPr>
        <w:t> della </w:t>
      </w:r>
      <w:r w:rsidRPr="00AB4CF4">
        <w:rPr>
          <w:rFonts w:eastAsia="Times New Roman"/>
          <w:b/>
          <w:bCs/>
          <w:lang w:eastAsia="it-IT"/>
        </w:rPr>
        <w:t>normativa in materia di autoconsumo</w:t>
      </w:r>
      <w:r w:rsidRPr="00AB4CF4">
        <w:rPr>
          <w:rFonts w:eastAsia="Times New Roman"/>
          <w:lang w:eastAsia="it-IT"/>
        </w:rPr>
        <w:t>, sopprimendo lo scambio sul posto e prevedendo un monitoraggio funzionale ai fini dell’aggiornamento delle modalità di imposizione delle componenti tariffarie a copertura degli oneri generali di sistema, lo sviluppo di misure volte a favorire la progressiva </w:t>
      </w:r>
      <w:r w:rsidRPr="00AB4CF4">
        <w:rPr>
          <w:rFonts w:eastAsia="Times New Roman"/>
          <w:b/>
          <w:bCs/>
          <w:lang w:eastAsia="it-IT"/>
        </w:rPr>
        <w:t>installazione di impianti rinnovabili negli edifici esistenti, anche attraverso l’introduzione di meccanismi d’obbligo</w:t>
      </w:r>
      <w:r w:rsidRPr="00AB4CF4">
        <w:rPr>
          <w:rFonts w:eastAsia="Times New Roman"/>
          <w:lang w:eastAsia="it-IT"/>
        </w:rPr>
        <w:t>. </w:t>
      </w:r>
    </w:p>
    <w:p w14:paraId="365BB507" w14:textId="77777777" w:rsidR="00AB4CF4" w:rsidRPr="00AB4CF4" w:rsidRDefault="00AB4CF4" w:rsidP="00EB41A8">
      <w:pPr>
        <w:numPr>
          <w:ilvl w:val="0"/>
          <w:numId w:val="8"/>
        </w:numPr>
        <w:ind w:left="1080" w:firstLine="0"/>
        <w:textAlignment w:val="baseline"/>
        <w:rPr>
          <w:rFonts w:eastAsia="Times New Roman"/>
          <w:lang w:eastAsia="it-IT"/>
        </w:rPr>
      </w:pPr>
      <w:r w:rsidRPr="00AB4CF4">
        <w:rPr>
          <w:rFonts w:eastAsia="Times New Roman"/>
          <w:lang w:eastAsia="it-IT"/>
        </w:rPr>
        <w:t>Il </w:t>
      </w:r>
      <w:r w:rsidRPr="00AB4CF4">
        <w:rPr>
          <w:rFonts w:eastAsia="Times New Roman"/>
          <w:b/>
          <w:bCs/>
          <w:lang w:eastAsia="it-IT"/>
        </w:rPr>
        <w:t>potenziamento dei meccanismi di sostegno alle fonti rinnovabili</w:t>
      </w:r>
      <w:r w:rsidRPr="00AB4CF4">
        <w:rPr>
          <w:rFonts w:eastAsia="Times New Roman"/>
          <w:lang w:eastAsia="it-IT"/>
        </w:rPr>
        <w:t> e si prevede di </w:t>
      </w:r>
      <w:r w:rsidRPr="00AB4CF4">
        <w:rPr>
          <w:rFonts w:eastAsia="Times New Roman"/>
          <w:b/>
          <w:bCs/>
          <w:lang w:eastAsia="it-IT"/>
        </w:rPr>
        <w:t>promuovere l’accoppiamento con sistemi di accumulo</w:t>
      </w:r>
      <w:r w:rsidRPr="00AB4CF4">
        <w:rPr>
          <w:rFonts w:eastAsia="Times New Roman"/>
          <w:lang w:eastAsia="it-IT"/>
        </w:rPr>
        <w:t>, per i quali potrà essere operato uno snellimento delle procedure amministrative e incoraggiata la ricerca in ottica di economia circolare per allungarne la vita utile. In tal senso sarà favorito lo </w:t>
      </w:r>
      <w:r w:rsidRPr="00AB4CF4">
        <w:rPr>
          <w:rFonts w:eastAsia="Times New Roman"/>
          <w:b/>
          <w:bCs/>
          <w:lang w:eastAsia="it-IT"/>
        </w:rPr>
        <w:t>sviluppo dei biocarburanti </w:t>
      </w:r>
      <w:r w:rsidRPr="00AB4CF4">
        <w:rPr>
          <w:rFonts w:eastAsia="Times New Roman"/>
          <w:lang w:eastAsia="it-IT"/>
        </w:rPr>
        <w:t>(esclusi quelli derivanti da olio di palma e di soia)</w:t>
      </w:r>
      <w:r w:rsidRPr="00AB4CF4">
        <w:rPr>
          <w:rFonts w:eastAsia="Times New Roman"/>
          <w:b/>
          <w:bCs/>
          <w:lang w:eastAsia="it-IT"/>
        </w:rPr>
        <w:t>, l’energia elettrica rinnovabile per la ricarica di veicoli</w:t>
      </w:r>
      <w:r w:rsidRPr="00AB4CF4">
        <w:rPr>
          <w:rFonts w:eastAsia="Times New Roman"/>
          <w:lang w:eastAsia="it-IT"/>
        </w:rPr>
        <w:t>, i </w:t>
      </w:r>
      <w:proofErr w:type="spellStart"/>
      <w:r w:rsidRPr="00AB4CF4">
        <w:rPr>
          <w:rFonts w:eastAsia="Times New Roman"/>
          <w:b/>
          <w:bCs/>
          <w:i/>
          <w:iCs/>
          <w:color w:val="000000"/>
          <w:shd w:val="clear" w:color="auto" w:fill="FFE5E5"/>
          <w:lang w:eastAsia="it-IT"/>
        </w:rPr>
        <w:t>recycled</w:t>
      </w:r>
      <w:proofErr w:type="spellEnd"/>
      <w:r w:rsidRPr="00AB4CF4">
        <w:rPr>
          <w:rFonts w:eastAsia="Times New Roman"/>
          <w:b/>
          <w:bCs/>
          <w:i/>
          <w:iCs/>
          <w:lang w:eastAsia="it-IT"/>
        </w:rPr>
        <w:t> carbon </w:t>
      </w:r>
      <w:proofErr w:type="spellStart"/>
      <w:r w:rsidRPr="00AB4CF4">
        <w:rPr>
          <w:rFonts w:eastAsia="Times New Roman"/>
          <w:b/>
          <w:bCs/>
          <w:i/>
          <w:iCs/>
          <w:lang w:eastAsia="it-IT"/>
        </w:rPr>
        <w:t>fuels</w:t>
      </w:r>
      <w:proofErr w:type="spellEnd"/>
      <w:r w:rsidRPr="00AB4CF4">
        <w:rPr>
          <w:rFonts w:eastAsia="Times New Roman"/>
          <w:lang w:eastAsia="it-IT"/>
        </w:rPr>
        <w:t> e </w:t>
      </w:r>
      <w:r w:rsidRPr="00AB4CF4">
        <w:rPr>
          <w:rFonts w:eastAsia="Times New Roman"/>
          <w:b/>
          <w:bCs/>
          <w:lang w:eastAsia="it-IT"/>
        </w:rPr>
        <w:t>idrogeno</w:t>
      </w:r>
      <w:r w:rsidRPr="00AB4CF4">
        <w:rPr>
          <w:rFonts w:eastAsia="Times New Roman"/>
          <w:lang w:eastAsia="it-IT"/>
        </w:rPr>
        <w:t> ai fini della decarbonizzazione dei trasporti, valorizzando anche l’energia prodotta da </w:t>
      </w:r>
      <w:r w:rsidRPr="00AB4CF4">
        <w:rPr>
          <w:rFonts w:eastAsia="Times New Roman"/>
          <w:b/>
          <w:bCs/>
          <w:lang w:eastAsia="it-IT"/>
        </w:rPr>
        <w:t>biogas</w:t>
      </w:r>
      <w:r w:rsidRPr="00AB4CF4">
        <w:rPr>
          <w:rFonts w:eastAsia="Times New Roman"/>
          <w:lang w:eastAsia="it-IT"/>
        </w:rPr>
        <w:t> per la trasformazione in </w:t>
      </w:r>
      <w:r w:rsidRPr="00AB4CF4">
        <w:rPr>
          <w:rFonts w:eastAsia="Times New Roman"/>
          <w:b/>
          <w:bCs/>
          <w:lang w:eastAsia="it-IT"/>
        </w:rPr>
        <w:t>biometano</w:t>
      </w:r>
      <w:r w:rsidRPr="00AB4CF4">
        <w:rPr>
          <w:rFonts w:eastAsia="Times New Roman"/>
          <w:lang w:eastAsia="it-IT"/>
        </w:rPr>
        <w:t>, e introdotte misure per l’utilizzo energetico di </w:t>
      </w:r>
      <w:r w:rsidRPr="00AB4CF4">
        <w:rPr>
          <w:rFonts w:eastAsia="Times New Roman"/>
          <w:b/>
          <w:bCs/>
          <w:lang w:eastAsia="it-IT"/>
        </w:rPr>
        <w:t xml:space="preserve">biomasse </w:t>
      </w:r>
      <w:r w:rsidRPr="00AB4CF4">
        <w:rPr>
          <w:rFonts w:eastAsia="Times New Roman"/>
          <w:b/>
          <w:bCs/>
          <w:lang w:eastAsia="it-IT"/>
        </w:rPr>
        <w:lastRenderedPageBreak/>
        <w:t>legnose</w:t>
      </w:r>
      <w:r w:rsidRPr="00AB4CF4">
        <w:rPr>
          <w:rFonts w:eastAsia="Times New Roman"/>
          <w:lang w:eastAsia="it-IT"/>
        </w:rPr>
        <w:t> in coerenza con le previsioni europee sull’utilizzo a cascata e considerando anche le opportunità derivanti dalle </w:t>
      </w:r>
      <w:r w:rsidRPr="00AB4CF4">
        <w:rPr>
          <w:rFonts w:eastAsia="Times New Roman"/>
          <w:b/>
          <w:bCs/>
          <w:lang w:eastAsia="it-IT"/>
        </w:rPr>
        <w:t>biomasse residuali industriali</w:t>
      </w:r>
      <w:r w:rsidRPr="00AB4CF4">
        <w:rPr>
          <w:rFonts w:eastAsia="Times New Roman"/>
          <w:lang w:eastAsia="it-IT"/>
        </w:rPr>
        <w:t>. Si prevede infine di promuovere le risorse </w:t>
      </w:r>
      <w:r w:rsidRPr="00AB4CF4">
        <w:rPr>
          <w:rFonts w:eastAsia="Times New Roman"/>
          <w:b/>
          <w:bCs/>
          <w:lang w:eastAsia="it-IT"/>
        </w:rPr>
        <w:t>rinnovabili in mare,</w:t>
      </w:r>
      <w:r w:rsidRPr="00AB4CF4">
        <w:rPr>
          <w:rFonts w:eastAsia="Times New Roman"/>
          <w:lang w:eastAsia="it-IT"/>
        </w:rPr>
        <w:t> privilegiando, ove possibile, l’utilizzo delle </w:t>
      </w:r>
      <w:r w:rsidRPr="00AB4CF4">
        <w:rPr>
          <w:rFonts w:eastAsia="Times New Roman"/>
          <w:b/>
          <w:bCs/>
          <w:lang w:eastAsia="it-IT"/>
        </w:rPr>
        <w:t>piattaforme petrolifere in disuso, e l’idrogeno verde nell’industria siderurgica e chimica</w:t>
      </w:r>
      <w:r w:rsidRPr="00AB4CF4">
        <w:rPr>
          <w:rFonts w:eastAsia="Times New Roman"/>
          <w:lang w:eastAsia="it-IT"/>
        </w:rPr>
        <w:t>.</w:t>
      </w:r>
      <w:r w:rsidRPr="00AB4CF4">
        <w:rPr>
          <w:rFonts w:eastAsia="Times New Roman"/>
          <w:b/>
          <w:bCs/>
          <w:color w:val="000000"/>
          <w:lang w:eastAsia="it-IT"/>
        </w:rPr>
        <w:t> </w:t>
      </w:r>
      <w:r w:rsidRPr="00AB4CF4">
        <w:rPr>
          <w:rFonts w:eastAsia="Times New Roman"/>
          <w:color w:val="000000"/>
          <w:lang w:eastAsia="it-IT"/>
        </w:rPr>
        <w:t> </w:t>
      </w:r>
    </w:p>
    <w:p w14:paraId="2AF8EE5D" w14:textId="77777777" w:rsidR="005B1B8A" w:rsidRDefault="005B1B8A" w:rsidP="00EB41A8">
      <w:pPr>
        <w:textAlignment w:val="baseline"/>
        <w:rPr>
          <w:rFonts w:eastAsia="Times New Roman"/>
          <w:b/>
          <w:bCs/>
          <w:color w:val="000000"/>
          <w:lang w:eastAsia="it-IT"/>
        </w:rPr>
      </w:pPr>
    </w:p>
    <w:p w14:paraId="773CAAD3" w14:textId="3AAD71F1" w:rsidR="00AB4CF4" w:rsidRPr="00AB4CF4" w:rsidRDefault="00AB4CF4" w:rsidP="00EB41A8">
      <w:pPr>
        <w:textAlignment w:val="baseline"/>
        <w:rPr>
          <w:rFonts w:ascii="Segoe UI" w:eastAsia="Times New Roman" w:hAnsi="Segoe UI" w:cs="Segoe UI"/>
          <w:sz w:val="18"/>
          <w:szCs w:val="18"/>
          <w:lang w:eastAsia="it-IT"/>
        </w:rPr>
      </w:pPr>
      <w:r w:rsidRPr="00AB4CF4">
        <w:rPr>
          <w:rFonts w:eastAsia="Times New Roman"/>
          <w:b/>
          <w:bCs/>
          <w:color w:val="000000"/>
          <w:lang w:eastAsia="it-IT"/>
        </w:rPr>
        <w:t>L’Articolo 12 </w:t>
      </w:r>
      <w:r w:rsidRPr="00AB4CF4">
        <w:rPr>
          <w:rFonts w:eastAsia="Times New Roman"/>
          <w:color w:val="000000"/>
          <w:lang w:eastAsia="it-IT"/>
        </w:rPr>
        <w:t>detta i </w:t>
      </w:r>
      <w:r w:rsidRPr="00AB4CF4">
        <w:rPr>
          <w:rFonts w:eastAsia="Times New Roman"/>
          <w:b/>
          <w:bCs/>
          <w:color w:val="000000"/>
          <w:lang w:eastAsia="it-IT"/>
        </w:rPr>
        <w:t>principi e criteri di delega </w:t>
      </w:r>
      <w:r w:rsidRPr="00AB4CF4">
        <w:rPr>
          <w:rFonts w:eastAsia="Times New Roman"/>
          <w:color w:val="000000"/>
          <w:lang w:eastAsia="it-IT"/>
        </w:rPr>
        <w:t>per l’attuazione della direttiva (UE) 2019/944 relativa a norme comuni per il mercato interno dell'energia elettrica (testo abrogativo e di rifusione della precedente Direttiva 2009/72/CE sul mercato elettrico e modificativo della Direttiva 2012/27/UE in materia di efficienza energetica) prevedendo:   </w:t>
      </w:r>
    </w:p>
    <w:p w14:paraId="6D726652" w14:textId="77777777" w:rsidR="00AB4CF4" w:rsidRPr="00AB4CF4" w:rsidRDefault="00AB4CF4" w:rsidP="00EB41A8">
      <w:pPr>
        <w:numPr>
          <w:ilvl w:val="0"/>
          <w:numId w:val="9"/>
        </w:numPr>
        <w:ind w:left="1080" w:firstLine="0"/>
        <w:textAlignment w:val="baseline"/>
        <w:rPr>
          <w:rFonts w:eastAsia="Times New Roman"/>
          <w:lang w:eastAsia="it-IT"/>
        </w:rPr>
      </w:pPr>
      <w:r w:rsidRPr="00AB4CF4">
        <w:rPr>
          <w:rFonts w:eastAsia="Times New Roman"/>
          <w:lang w:eastAsia="it-IT"/>
        </w:rPr>
        <w:t>la definizione della disciplina relativa alle </w:t>
      </w:r>
      <w:r w:rsidRPr="00AB4CF4">
        <w:rPr>
          <w:rFonts w:eastAsia="Times New Roman"/>
          <w:b/>
          <w:bCs/>
          <w:lang w:eastAsia="it-IT"/>
        </w:rPr>
        <w:t>comunità energetiche</w:t>
      </w:r>
      <w:r w:rsidRPr="00AB4CF4">
        <w:rPr>
          <w:rFonts w:eastAsia="Times New Roman"/>
          <w:lang w:eastAsia="it-IT"/>
        </w:rPr>
        <w:t> dei cittadini, attive nell’ambito della generazione, dell’approvvigionamento, della distribuzione, dell’accumulo, della condivisione, della vendita di energia elettrica e della fornitura di servizi energetici, inclusi i servizi di efficienza energetica e di ricarica dei veicoli elettrici, valorizzando la rete elettrica esistente e assicurando un’adeguata partecipazione ai costi di sistema; </w:t>
      </w:r>
    </w:p>
    <w:p w14:paraId="58CC59CA" w14:textId="77777777" w:rsidR="00AB4CF4" w:rsidRPr="00AB4CF4" w:rsidRDefault="00AB4CF4" w:rsidP="00EB41A8">
      <w:pPr>
        <w:numPr>
          <w:ilvl w:val="0"/>
          <w:numId w:val="9"/>
        </w:numPr>
        <w:ind w:left="1080" w:firstLine="0"/>
        <w:textAlignment w:val="baseline"/>
        <w:rPr>
          <w:rFonts w:eastAsia="Times New Roman"/>
          <w:lang w:eastAsia="it-IT"/>
        </w:rPr>
      </w:pPr>
      <w:r w:rsidRPr="00AB4CF4">
        <w:rPr>
          <w:rFonts w:eastAsia="Times New Roman"/>
          <w:color w:val="000000"/>
          <w:lang w:eastAsia="it-IT"/>
        </w:rPr>
        <w:t>l’aggiornamento e la semplificazione del quadro normativo in materia di </w:t>
      </w:r>
      <w:r w:rsidRPr="00AB4CF4">
        <w:rPr>
          <w:rFonts w:eastAsia="Times New Roman"/>
          <w:b/>
          <w:bCs/>
          <w:color w:val="000000"/>
          <w:lang w:eastAsia="it-IT"/>
        </w:rPr>
        <w:t>configurazioni per l’autoconsumo</w:t>
      </w:r>
      <w:r w:rsidRPr="00AB4CF4">
        <w:rPr>
          <w:rFonts w:eastAsia="Times New Roman"/>
          <w:color w:val="000000"/>
          <w:lang w:eastAsia="it-IT"/>
        </w:rPr>
        <w:t>, di sistemi di distribuzione chiusi e di linee dirette, disciplinando le modalità e gli obblighi di servizio pubblico e prevedendo un’adeguata partecipazione ai costi di sistema e di rete; </w:t>
      </w:r>
    </w:p>
    <w:p w14:paraId="329D79EB" w14:textId="77777777" w:rsidR="00AB4CF4" w:rsidRPr="00AB4CF4" w:rsidRDefault="00AB4CF4" w:rsidP="00EB41A8">
      <w:pPr>
        <w:numPr>
          <w:ilvl w:val="0"/>
          <w:numId w:val="9"/>
        </w:numPr>
        <w:ind w:left="1080" w:firstLine="0"/>
        <w:textAlignment w:val="baseline"/>
        <w:rPr>
          <w:rFonts w:eastAsia="Times New Roman"/>
          <w:lang w:eastAsia="it-IT"/>
        </w:rPr>
      </w:pPr>
      <w:r w:rsidRPr="00AB4CF4">
        <w:rPr>
          <w:rFonts w:eastAsia="Times New Roman"/>
          <w:color w:val="000000"/>
          <w:lang w:eastAsia="it-IT"/>
        </w:rPr>
        <w:t>un quadro normativo semplificato per lo sviluppo e la diffusione dei </w:t>
      </w:r>
      <w:r w:rsidRPr="00AB4CF4">
        <w:rPr>
          <w:rFonts w:eastAsia="Times New Roman"/>
          <w:b/>
          <w:bCs/>
          <w:color w:val="000000"/>
          <w:lang w:eastAsia="it-IT"/>
        </w:rPr>
        <w:t>sistemi di accumulo</w:t>
      </w:r>
      <w:r w:rsidRPr="00AB4CF4">
        <w:rPr>
          <w:rFonts w:eastAsia="Times New Roman"/>
          <w:color w:val="000000"/>
          <w:lang w:eastAsia="it-IT"/>
        </w:rPr>
        <w:t> e per la partecipazione degli stessi ai mercati dell’energia elettrica e dei servizi, prevedendo l’attivazione di servizi di flessibilità e servizi ancillari anche di carattere standardizzato sulle reti di distribuzione e l’adozione delle necessarie procedure autorizzative e degli strumenti funzionali all’adozione di soluzioni di mercato con un orizzonte a lungo termine, al fine di dare stabilità agli investimenti; </w:t>
      </w:r>
    </w:p>
    <w:p w14:paraId="5E5AF68C" w14:textId="77777777" w:rsidR="00AB4CF4" w:rsidRPr="00AB4CF4" w:rsidRDefault="00AB4CF4" w:rsidP="00EB41A8">
      <w:pPr>
        <w:numPr>
          <w:ilvl w:val="0"/>
          <w:numId w:val="9"/>
        </w:numPr>
        <w:ind w:left="1080" w:firstLine="0"/>
        <w:textAlignment w:val="baseline"/>
        <w:rPr>
          <w:rFonts w:eastAsia="Times New Roman"/>
          <w:lang w:eastAsia="it-IT"/>
        </w:rPr>
      </w:pPr>
      <w:r w:rsidRPr="00AB4CF4">
        <w:rPr>
          <w:rFonts w:eastAsia="Times New Roman"/>
          <w:color w:val="000000"/>
          <w:lang w:eastAsia="it-IT"/>
        </w:rPr>
        <w:t>la definizione di una </w:t>
      </w:r>
      <w:r w:rsidRPr="00AB4CF4">
        <w:rPr>
          <w:rFonts w:eastAsia="Times New Roman"/>
          <w:b/>
          <w:bCs/>
          <w:color w:val="000000"/>
          <w:lang w:eastAsia="it-IT"/>
        </w:rPr>
        <w:t>disciplina unica in materia di comunità energetiche, autoconsumo collettivo e sistemi di accumulo</w:t>
      </w:r>
      <w:r w:rsidRPr="00AB4CF4">
        <w:rPr>
          <w:rFonts w:eastAsia="Times New Roman"/>
          <w:color w:val="000000"/>
          <w:lang w:eastAsia="it-IT"/>
        </w:rPr>
        <w:t> e, nel rispetto della sicurezza del sistema, l’avvio di sperimentazioni per un graduale passaggio a un sistema di auto-dispacciamento, volto a promuovere un ruolo più attivo dei gestori delle reti di distribuzione e una migliore valorizzazione dell'apporto della generazione distribuita, anche attraverso un sistema di premi e penalità che stimoli produttori e consumatori di energia a bilanciare le proprie posizioni a livello locale; </w:t>
      </w:r>
    </w:p>
    <w:p w14:paraId="62B15251" w14:textId="77777777" w:rsidR="00AB4CF4" w:rsidRPr="00AB4CF4" w:rsidRDefault="00AB4CF4" w:rsidP="00EB41A8">
      <w:pPr>
        <w:numPr>
          <w:ilvl w:val="0"/>
          <w:numId w:val="10"/>
        </w:numPr>
        <w:ind w:left="1080" w:firstLine="0"/>
        <w:textAlignment w:val="baseline"/>
        <w:rPr>
          <w:rFonts w:eastAsia="Times New Roman"/>
          <w:lang w:eastAsia="it-IT"/>
        </w:rPr>
      </w:pPr>
      <w:r w:rsidRPr="00AB4CF4">
        <w:rPr>
          <w:rFonts w:eastAsia="Times New Roman"/>
          <w:color w:val="000000"/>
          <w:lang w:eastAsia="it-IT"/>
        </w:rPr>
        <w:t>l’aggiornamento del quadro normativo delle misure per implementare la protezione dei clienti vulnerabili e in condizioni di povertà energetica; </w:t>
      </w:r>
    </w:p>
    <w:p w14:paraId="47AFD820" w14:textId="77777777" w:rsidR="00AB4CF4" w:rsidRPr="00AB4CF4" w:rsidRDefault="00AB4CF4" w:rsidP="00EB41A8">
      <w:pPr>
        <w:numPr>
          <w:ilvl w:val="0"/>
          <w:numId w:val="10"/>
        </w:numPr>
        <w:ind w:left="1080" w:firstLine="0"/>
        <w:textAlignment w:val="baseline"/>
        <w:rPr>
          <w:rFonts w:eastAsia="Times New Roman"/>
          <w:lang w:eastAsia="it-IT"/>
        </w:rPr>
      </w:pPr>
      <w:r w:rsidRPr="00AB4CF4">
        <w:rPr>
          <w:rFonts w:eastAsia="Times New Roman"/>
          <w:color w:val="000000"/>
          <w:lang w:eastAsia="it-IT"/>
        </w:rPr>
        <w:t>la previsione di misure per </w:t>
      </w:r>
      <w:r w:rsidRPr="00AB4CF4">
        <w:rPr>
          <w:rFonts w:eastAsia="Times New Roman"/>
          <w:b/>
          <w:bCs/>
          <w:color w:val="000000"/>
          <w:lang w:eastAsia="it-IT"/>
        </w:rPr>
        <w:t>l'evoluzione del ruolo e delle responsabilità dei gestori delle reti di distribuzione,</w:t>
      </w:r>
      <w:r w:rsidRPr="00AB4CF4">
        <w:rPr>
          <w:rFonts w:eastAsia="Times New Roman"/>
          <w:color w:val="000000"/>
          <w:lang w:eastAsia="it-IT"/>
        </w:rPr>
        <w:t> in coordinamento con il gestore della rete di trasmissione, in funzione delle esigenze di flessibilità del sistema e di integrazione della generazione distribuita e della gestione della domanda, secondo criteri di gradualità; </w:t>
      </w:r>
    </w:p>
    <w:p w14:paraId="40031047" w14:textId="77777777" w:rsidR="00AB4CF4" w:rsidRPr="00AB4CF4" w:rsidRDefault="00AB4CF4" w:rsidP="00EB41A8">
      <w:pPr>
        <w:numPr>
          <w:ilvl w:val="0"/>
          <w:numId w:val="10"/>
        </w:numPr>
        <w:ind w:left="1080" w:firstLine="0"/>
        <w:textAlignment w:val="baseline"/>
        <w:rPr>
          <w:rFonts w:eastAsia="Times New Roman"/>
          <w:lang w:eastAsia="it-IT"/>
        </w:rPr>
      </w:pPr>
      <w:r w:rsidRPr="00AB4CF4">
        <w:rPr>
          <w:rFonts w:eastAsia="Times New Roman"/>
          <w:color w:val="000000"/>
          <w:lang w:eastAsia="it-IT"/>
        </w:rPr>
        <w:lastRenderedPageBreak/>
        <w:t>il </w:t>
      </w:r>
      <w:r w:rsidRPr="00AB4CF4">
        <w:rPr>
          <w:rFonts w:eastAsia="Times New Roman"/>
          <w:b/>
          <w:bCs/>
          <w:color w:val="000000"/>
          <w:lang w:eastAsia="it-IT"/>
        </w:rPr>
        <w:t>riordino </w:t>
      </w:r>
      <w:r w:rsidRPr="00AB4CF4">
        <w:rPr>
          <w:rFonts w:eastAsia="Times New Roman"/>
          <w:color w:val="000000"/>
          <w:lang w:eastAsia="it-IT"/>
        </w:rPr>
        <w:t>della </w:t>
      </w:r>
      <w:r w:rsidRPr="00AB4CF4">
        <w:rPr>
          <w:rFonts w:eastAsia="Times New Roman"/>
          <w:b/>
          <w:bCs/>
          <w:color w:val="000000"/>
          <w:lang w:eastAsia="it-IT"/>
        </w:rPr>
        <w:t>disciplina di adozione del piano di sviluppo della rete di trasmissione nazionale</w:t>
      </w:r>
      <w:r w:rsidRPr="00AB4CF4">
        <w:rPr>
          <w:rFonts w:eastAsia="Times New Roman"/>
          <w:color w:val="000000"/>
          <w:lang w:eastAsia="it-IT"/>
        </w:rPr>
        <w:t> - da adottare, secondo la precisazione introdotta in prima lettura, con cadenza biennale, coordinandolo con il piano di sicurezza - e le procedure finalizzate all'accelerazione dei tempi di conclusione dei procedimenti autorizzativi, inclusi quelli ambientali; </w:t>
      </w:r>
    </w:p>
    <w:p w14:paraId="509446AA" w14:textId="77777777" w:rsidR="00AB4CF4" w:rsidRPr="00AB4CF4" w:rsidRDefault="00AB4CF4" w:rsidP="00EB41A8">
      <w:pPr>
        <w:numPr>
          <w:ilvl w:val="0"/>
          <w:numId w:val="10"/>
        </w:numPr>
        <w:ind w:left="1080" w:firstLine="0"/>
        <w:textAlignment w:val="baseline"/>
        <w:rPr>
          <w:rFonts w:eastAsia="Times New Roman"/>
          <w:lang w:eastAsia="it-IT"/>
        </w:rPr>
      </w:pPr>
      <w:r w:rsidRPr="00AB4CF4">
        <w:rPr>
          <w:rFonts w:eastAsia="Times New Roman"/>
          <w:color w:val="000000"/>
          <w:lang w:eastAsia="it-IT"/>
        </w:rPr>
        <w:t>l'aggiornamento della disciplina degli obblighi di servizio pubblico degli impianti di produzione di energia elettrica e dei processi di messa fuori servizio e dismissione al fine di garantire le esigenze di sicurezza del sistema elettrico; </w:t>
      </w:r>
    </w:p>
    <w:p w14:paraId="6367BD8D" w14:textId="77777777" w:rsidR="00AB4CF4" w:rsidRPr="00AB4CF4" w:rsidRDefault="00AB4CF4" w:rsidP="00EB41A8">
      <w:pPr>
        <w:numPr>
          <w:ilvl w:val="0"/>
          <w:numId w:val="10"/>
        </w:numPr>
        <w:ind w:left="1080" w:firstLine="0"/>
        <w:textAlignment w:val="baseline"/>
        <w:rPr>
          <w:rFonts w:eastAsia="Times New Roman"/>
          <w:lang w:eastAsia="it-IT"/>
        </w:rPr>
      </w:pPr>
      <w:r w:rsidRPr="00AB4CF4">
        <w:rPr>
          <w:rFonts w:eastAsia="Times New Roman"/>
          <w:color w:val="000000"/>
          <w:lang w:eastAsia="it-IT"/>
        </w:rPr>
        <w:t>la previsione, in caso di mancato rispetto da parte delle imprese elettriche degli obblighi previsti dalla direttiva 2019/944, di sanzioni amministrative pecuniarie effettive, proporzionate e dissuasive, incluso il potere di imporre sanzioni fino al 10 % del fatturato annuo del gestore del sistema di trasmissione o fino al 10 % del fatturato annuo dell'impresa verticalmente integrata; </w:t>
      </w:r>
    </w:p>
    <w:p w14:paraId="1DDFA33D" w14:textId="77777777" w:rsidR="00AB4CF4" w:rsidRPr="00AB4CF4" w:rsidRDefault="00AB4CF4" w:rsidP="00EB41A8">
      <w:pPr>
        <w:numPr>
          <w:ilvl w:val="0"/>
          <w:numId w:val="11"/>
        </w:numPr>
        <w:ind w:left="1080" w:firstLine="0"/>
        <w:textAlignment w:val="baseline"/>
        <w:rPr>
          <w:rFonts w:eastAsia="Times New Roman"/>
          <w:lang w:eastAsia="it-IT"/>
        </w:rPr>
      </w:pPr>
      <w:r w:rsidRPr="00AB4CF4">
        <w:rPr>
          <w:rFonts w:eastAsia="Times New Roman"/>
          <w:color w:val="000000"/>
          <w:lang w:eastAsia="it-IT"/>
        </w:rPr>
        <w:t>di indirizzare i principi tariffari verso una </w:t>
      </w:r>
      <w:r w:rsidRPr="00AB4CF4">
        <w:rPr>
          <w:rFonts w:eastAsia="Times New Roman"/>
          <w:b/>
          <w:bCs/>
          <w:color w:val="000000"/>
          <w:lang w:eastAsia="it-IT"/>
        </w:rPr>
        <w:t>tariffazione dinamica dell'energia elettrica riducendo la parte di componenti fisse</w:t>
      </w:r>
      <w:r w:rsidRPr="00AB4CF4">
        <w:rPr>
          <w:rFonts w:eastAsia="Times New Roman"/>
          <w:color w:val="000000"/>
          <w:lang w:eastAsia="it-IT"/>
        </w:rPr>
        <w:t> delle fatture per l'energia elettrica; </w:t>
      </w:r>
    </w:p>
    <w:p w14:paraId="27862CE9" w14:textId="77777777" w:rsidR="00AB4CF4" w:rsidRPr="00AB4CF4" w:rsidRDefault="00AB4CF4" w:rsidP="00EB41A8">
      <w:pPr>
        <w:numPr>
          <w:ilvl w:val="0"/>
          <w:numId w:val="11"/>
        </w:numPr>
        <w:ind w:left="1080" w:firstLine="0"/>
        <w:textAlignment w:val="baseline"/>
        <w:rPr>
          <w:rFonts w:eastAsia="Times New Roman"/>
          <w:lang w:eastAsia="it-IT"/>
        </w:rPr>
      </w:pPr>
      <w:r w:rsidRPr="00AB4CF4">
        <w:rPr>
          <w:rFonts w:eastAsia="Times New Roman"/>
          <w:color w:val="000000"/>
          <w:lang w:eastAsia="it-IT"/>
        </w:rPr>
        <w:t>l'introduzione di misure per il </w:t>
      </w:r>
      <w:r w:rsidRPr="00AB4CF4">
        <w:rPr>
          <w:rFonts w:eastAsia="Times New Roman"/>
          <w:b/>
          <w:bCs/>
          <w:color w:val="000000"/>
          <w:lang w:eastAsia="it-IT"/>
        </w:rPr>
        <w:t>potenziamento dell'infrastruttura di rete</w:t>
      </w:r>
      <w:r w:rsidRPr="00AB4CF4">
        <w:rPr>
          <w:rFonts w:eastAsia="Times New Roman"/>
          <w:color w:val="000000"/>
          <w:lang w:eastAsia="it-IT"/>
        </w:rPr>
        <w:t> e la</w:t>
      </w:r>
      <w:r w:rsidRPr="00AB4CF4">
        <w:rPr>
          <w:rFonts w:eastAsia="Times New Roman"/>
          <w:b/>
          <w:bCs/>
          <w:color w:val="000000"/>
          <w:lang w:eastAsia="it-IT"/>
        </w:rPr>
        <w:t> promozione di smart </w:t>
      </w:r>
      <w:proofErr w:type="spellStart"/>
      <w:r w:rsidRPr="00AB4CF4">
        <w:rPr>
          <w:rFonts w:eastAsia="Times New Roman"/>
          <w:b/>
          <w:bCs/>
          <w:color w:val="000000"/>
          <w:lang w:eastAsia="it-IT"/>
        </w:rPr>
        <w:t>grids</w:t>
      </w:r>
      <w:proofErr w:type="spellEnd"/>
      <w:r w:rsidRPr="00AB4CF4">
        <w:rPr>
          <w:rFonts w:eastAsia="Times New Roman"/>
          <w:color w:val="000000"/>
          <w:lang w:eastAsia="it-IT"/>
        </w:rPr>
        <w:t> propedeutiche all'ottenimento dei risultati previsti nella strategia del </w:t>
      </w:r>
      <w:proofErr w:type="spellStart"/>
      <w:r w:rsidRPr="00AB4CF4">
        <w:rPr>
          <w:rFonts w:eastAsia="Times New Roman"/>
          <w:color w:val="000000"/>
          <w:lang w:eastAsia="it-IT"/>
        </w:rPr>
        <w:t>Clean</w:t>
      </w:r>
      <w:proofErr w:type="spellEnd"/>
      <w:r w:rsidRPr="00AB4CF4">
        <w:rPr>
          <w:rFonts w:eastAsia="Times New Roman"/>
          <w:color w:val="000000"/>
          <w:lang w:eastAsia="it-IT"/>
        </w:rPr>
        <w:t> Energy Package. </w:t>
      </w:r>
    </w:p>
    <w:p w14:paraId="063E3721" w14:textId="77777777" w:rsidR="00CC2195" w:rsidRDefault="00CC2195" w:rsidP="00EB41A8">
      <w:pPr>
        <w:textAlignment w:val="baseline"/>
        <w:rPr>
          <w:rFonts w:eastAsia="Times New Roman"/>
          <w:b/>
          <w:bCs/>
          <w:color w:val="000000"/>
          <w:lang w:eastAsia="it-IT"/>
        </w:rPr>
      </w:pPr>
    </w:p>
    <w:p w14:paraId="6175A0A3" w14:textId="7AD987DE" w:rsidR="00AB4CF4" w:rsidRPr="00AB4CF4" w:rsidRDefault="00AB4CF4" w:rsidP="00EB41A8">
      <w:pPr>
        <w:textAlignment w:val="baseline"/>
        <w:rPr>
          <w:rFonts w:ascii="Segoe UI" w:eastAsia="Times New Roman" w:hAnsi="Segoe UI" w:cs="Segoe UI"/>
          <w:sz w:val="18"/>
          <w:szCs w:val="18"/>
          <w:lang w:eastAsia="it-IT"/>
        </w:rPr>
      </w:pPr>
      <w:r w:rsidRPr="00AB4CF4">
        <w:rPr>
          <w:rFonts w:eastAsia="Times New Roman"/>
          <w:b/>
          <w:bCs/>
          <w:color w:val="000000"/>
          <w:lang w:eastAsia="it-IT"/>
        </w:rPr>
        <w:t>L’articolo 19</w:t>
      </w:r>
      <w:r w:rsidRPr="00AB4CF4">
        <w:rPr>
          <w:rFonts w:eastAsia="Times New Roman"/>
          <w:color w:val="000000"/>
          <w:lang w:eastAsia="it-IT"/>
        </w:rPr>
        <w:t> prevede l’adeguamento della normativa nazionale alle disposizioni del </w:t>
      </w:r>
      <w:r w:rsidRPr="00AB4CF4">
        <w:rPr>
          <w:rFonts w:eastAsia="Times New Roman"/>
          <w:b/>
          <w:bCs/>
          <w:color w:val="000000"/>
          <w:lang w:eastAsia="it-IT"/>
        </w:rPr>
        <w:t>regolamento europeo 2019/943</w:t>
      </w:r>
      <w:r w:rsidRPr="00AB4CF4">
        <w:rPr>
          <w:rFonts w:eastAsia="Times New Roman"/>
          <w:color w:val="000000"/>
          <w:lang w:eastAsia="it-IT"/>
        </w:rPr>
        <w:t>, sul </w:t>
      </w:r>
      <w:r w:rsidRPr="00AB4CF4">
        <w:rPr>
          <w:rFonts w:eastAsia="Times New Roman"/>
          <w:b/>
          <w:bCs/>
          <w:color w:val="000000"/>
          <w:lang w:eastAsia="it-IT"/>
        </w:rPr>
        <w:t>mercato interno dell’energia elettrica</w:t>
      </w:r>
      <w:r w:rsidRPr="00AB4CF4">
        <w:rPr>
          <w:rFonts w:eastAsia="Times New Roman"/>
          <w:color w:val="000000"/>
          <w:lang w:eastAsia="it-IT"/>
        </w:rPr>
        <w:t> (rifusione), e del </w:t>
      </w:r>
      <w:r w:rsidRPr="00AB4CF4">
        <w:rPr>
          <w:rFonts w:eastAsia="Times New Roman"/>
          <w:b/>
          <w:bCs/>
          <w:color w:val="000000"/>
          <w:lang w:eastAsia="it-IT"/>
        </w:rPr>
        <w:t>regolamento 2019/941</w:t>
      </w:r>
      <w:r w:rsidRPr="00AB4CF4">
        <w:rPr>
          <w:rFonts w:eastAsia="Times New Roman"/>
          <w:color w:val="000000"/>
          <w:lang w:eastAsia="it-IT"/>
        </w:rPr>
        <w:t>, sulla </w:t>
      </w:r>
      <w:r w:rsidRPr="00AB4CF4">
        <w:rPr>
          <w:rFonts w:eastAsia="Times New Roman"/>
          <w:b/>
          <w:bCs/>
          <w:color w:val="000000"/>
          <w:lang w:eastAsia="it-IT"/>
        </w:rPr>
        <w:t>preparazione ai rischi nel settore dell’energia elettrica</w:t>
      </w:r>
      <w:r w:rsidRPr="00AB4CF4">
        <w:rPr>
          <w:rFonts w:eastAsia="Times New Roman"/>
          <w:color w:val="000000"/>
          <w:lang w:eastAsia="it-IT"/>
        </w:rPr>
        <w:t> e che abroga la direttiva 2005/89/CE. Più in dettaglio prevede: </w:t>
      </w:r>
    </w:p>
    <w:p w14:paraId="78A07DAE" w14:textId="77777777" w:rsidR="00AB4CF4" w:rsidRPr="00AB4CF4" w:rsidRDefault="00AB4CF4" w:rsidP="00EB41A8">
      <w:pPr>
        <w:numPr>
          <w:ilvl w:val="0"/>
          <w:numId w:val="12"/>
        </w:numPr>
        <w:ind w:left="1080" w:firstLine="0"/>
        <w:textAlignment w:val="baseline"/>
        <w:rPr>
          <w:rFonts w:eastAsia="Times New Roman"/>
          <w:lang w:eastAsia="it-IT"/>
        </w:rPr>
      </w:pPr>
      <w:r w:rsidRPr="00AB4CF4">
        <w:rPr>
          <w:rFonts w:eastAsia="Times New Roman"/>
          <w:color w:val="000000"/>
          <w:lang w:eastAsia="it-IT"/>
        </w:rPr>
        <w:t>l'avvio di un processo per il </w:t>
      </w:r>
      <w:r w:rsidRPr="00AB4CF4">
        <w:rPr>
          <w:rFonts w:eastAsia="Times New Roman"/>
          <w:b/>
          <w:bCs/>
          <w:color w:val="000000"/>
          <w:lang w:eastAsia="it-IT"/>
        </w:rPr>
        <w:t>graduale superamento del Prezzo Unico Nazionale – PUN</w:t>
      </w:r>
      <w:r w:rsidRPr="00AB4CF4">
        <w:rPr>
          <w:rFonts w:eastAsia="Times New Roman"/>
          <w:color w:val="000000"/>
          <w:lang w:eastAsia="it-IT"/>
        </w:rPr>
        <w:t>; </w:t>
      </w:r>
    </w:p>
    <w:p w14:paraId="40026EB4" w14:textId="77777777" w:rsidR="00AB4CF4" w:rsidRPr="00AB4CF4" w:rsidRDefault="00AB4CF4" w:rsidP="00EB41A8">
      <w:pPr>
        <w:numPr>
          <w:ilvl w:val="0"/>
          <w:numId w:val="12"/>
        </w:numPr>
        <w:ind w:left="1080" w:firstLine="0"/>
        <w:textAlignment w:val="baseline"/>
        <w:rPr>
          <w:rFonts w:eastAsia="Times New Roman"/>
          <w:lang w:eastAsia="it-IT"/>
        </w:rPr>
      </w:pPr>
      <w:r w:rsidRPr="00AB4CF4">
        <w:rPr>
          <w:rFonts w:eastAsia="Times New Roman"/>
          <w:color w:val="000000"/>
          <w:lang w:eastAsia="it-IT"/>
        </w:rPr>
        <w:t>una </w:t>
      </w:r>
      <w:r w:rsidRPr="00AB4CF4">
        <w:rPr>
          <w:rFonts w:eastAsia="Times New Roman"/>
          <w:b/>
          <w:bCs/>
          <w:color w:val="000000"/>
          <w:lang w:eastAsia="it-IT"/>
        </w:rPr>
        <w:t>modifica</w:t>
      </w:r>
      <w:r w:rsidRPr="00AB4CF4">
        <w:rPr>
          <w:rFonts w:eastAsia="Times New Roman"/>
          <w:color w:val="000000"/>
          <w:lang w:eastAsia="it-IT"/>
        </w:rPr>
        <w:t>, in ottica di semplificazione, della </w:t>
      </w:r>
      <w:r w:rsidRPr="00AB4CF4">
        <w:rPr>
          <w:rFonts w:eastAsia="Times New Roman"/>
          <w:b/>
          <w:bCs/>
          <w:color w:val="000000"/>
          <w:lang w:eastAsia="it-IT"/>
        </w:rPr>
        <w:t>disciplina del dispacciamento e dei mercati all'ingrosso dell'energia</w:t>
      </w:r>
      <w:r w:rsidRPr="00AB4CF4">
        <w:rPr>
          <w:rFonts w:eastAsia="Times New Roman"/>
          <w:color w:val="000000"/>
          <w:lang w:eastAsia="it-IT"/>
        </w:rPr>
        <w:t> volte a tener conto delle nuove esigenze di flessibilità del sistema e della necessità di integrazione della generazione distribuita, degli aggregatori, delle fonti rinnovabili non programmabili, dei sistemi di accumulo e della gestione della domanda. A tal fine, devono essere previsti, il </w:t>
      </w:r>
      <w:r w:rsidRPr="00AB4CF4">
        <w:rPr>
          <w:rFonts w:eastAsia="Times New Roman"/>
          <w:b/>
          <w:bCs/>
          <w:color w:val="000000"/>
          <w:lang w:eastAsia="it-IT"/>
        </w:rPr>
        <w:t>ricorso a contratti di acquisto di energia a prezzo dinamico</w:t>
      </w:r>
      <w:r w:rsidRPr="00AB4CF4">
        <w:rPr>
          <w:rFonts w:eastAsia="Times New Roman"/>
          <w:color w:val="000000"/>
          <w:lang w:eastAsia="it-IT"/>
        </w:rPr>
        <w:t>, </w:t>
      </w:r>
      <w:r w:rsidRPr="00AB4CF4">
        <w:rPr>
          <w:rFonts w:eastAsia="Times New Roman"/>
          <w:b/>
          <w:bCs/>
          <w:color w:val="000000"/>
          <w:lang w:eastAsia="it-IT"/>
        </w:rPr>
        <w:t>l'avvio di sperimentazioni e attività di dispacciamento locale e </w:t>
      </w:r>
      <w:proofErr w:type="spellStart"/>
      <w:r w:rsidRPr="00AB4CF4">
        <w:rPr>
          <w:rFonts w:eastAsia="Times New Roman"/>
          <w:b/>
          <w:bCs/>
          <w:color w:val="000000"/>
          <w:lang w:eastAsia="it-IT"/>
        </w:rPr>
        <w:t>autodispacciamento</w:t>
      </w:r>
      <w:proofErr w:type="spellEnd"/>
      <w:r w:rsidRPr="00AB4CF4">
        <w:rPr>
          <w:rFonts w:eastAsia="Times New Roman"/>
          <w:b/>
          <w:bCs/>
          <w:color w:val="000000"/>
          <w:lang w:eastAsia="it-IT"/>
        </w:rPr>
        <w:t> </w:t>
      </w:r>
      <w:r w:rsidRPr="00AB4CF4">
        <w:rPr>
          <w:rFonts w:eastAsia="Times New Roman"/>
          <w:color w:val="000000"/>
          <w:lang w:eastAsia="it-IT"/>
        </w:rPr>
        <w:t>in sinergia con quanto disposto all'articolo 12 della legge di delegazione europea, nonché la </w:t>
      </w:r>
      <w:r w:rsidRPr="00AB4CF4">
        <w:rPr>
          <w:rFonts w:eastAsia="Times New Roman"/>
          <w:b/>
          <w:bCs/>
          <w:color w:val="000000"/>
          <w:lang w:eastAsia="it-IT"/>
        </w:rPr>
        <w:t>possibilità di stipulare accordi diretti semplificati fra produttore e consumatore di energia all'interno della medesima zona di mercato</w:t>
      </w:r>
      <w:r w:rsidRPr="00AB4CF4">
        <w:rPr>
          <w:rFonts w:eastAsia="Times New Roman"/>
          <w:color w:val="000000"/>
          <w:lang w:eastAsia="it-IT"/>
        </w:rPr>
        <w:t>. </w:t>
      </w:r>
    </w:p>
    <w:p w14:paraId="385DB7D9" w14:textId="77777777" w:rsidR="00AB4CF4" w:rsidRPr="00AB4CF4" w:rsidRDefault="00AB4CF4" w:rsidP="00EB41A8">
      <w:pPr>
        <w:textAlignment w:val="baseline"/>
        <w:rPr>
          <w:rFonts w:ascii="Segoe UI" w:eastAsia="Times New Roman" w:hAnsi="Segoe UI" w:cs="Segoe UI"/>
          <w:sz w:val="18"/>
          <w:szCs w:val="18"/>
          <w:lang w:eastAsia="it-IT"/>
        </w:rPr>
      </w:pPr>
      <w:r w:rsidRPr="00AB4CF4">
        <w:rPr>
          <w:rFonts w:eastAsia="Times New Roman"/>
          <w:color w:val="000000"/>
          <w:lang w:eastAsia="it-IT"/>
        </w:rPr>
        <w:t>Entro 18 mesi dalla data di entrata in vigore della legge di delegazione europea il Governo adotta uno o più decreti legislativi per l’adeguamento della normativa nazionale ai regolamenti (UE) 2019/943 e 2019/941 del Parlamento europeo e del Consiglio, del 5 giugno 2019. </w:t>
      </w:r>
    </w:p>
    <w:p w14:paraId="7E62CC1B" w14:textId="77777777" w:rsidR="00AB4CF4" w:rsidRPr="00AB4CF4" w:rsidRDefault="00AB4CF4" w:rsidP="00EB41A8">
      <w:pPr>
        <w:textAlignment w:val="baseline"/>
        <w:rPr>
          <w:rFonts w:ascii="Segoe UI" w:eastAsia="Times New Roman" w:hAnsi="Segoe UI" w:cs="Segoe UI"/>
          <w:sz w:val="18"/>
          <w:szCs w:val="18"/>
          <w:lang w:eastAsia="it-IT"/>
        </w:rPr>
      </w:pPr>
      <w:r w:rsidRPr="00AB4CF4">
        <w:rPr>
          <w:rFonts w:eastAsia="Times New Roman"/>
          <w:lang w:eastAsia="it-IT"/>
        </w:rPr>
        <w:lastRenderedPageBreak/>
        <w:t>L’</w:t>
      </w:r>
      <w:r w:rsidRPr="00AB4CF4">
        <w:rPr>
          <w:rFonts w:eastAsia="Times New Roman"/>
          <w:b/>
          <w:bCs/>
          <w:lang w:eastAsia="it-IT"/>
        </w:rPr>
        <w:t>Articolo 22</w:t>
      </w:r>
      <w:r w:rsidRPr="00AB4CF4">
        <w:rPr>
          <w:rFonts w:eastAsia="Times New Roman"/>
          <w:lang w:eastAsia="it-IT"/>
        </w:rPr>
        <w:t> del </w:t>
      </w:r>
      <w:proofErr w:type="spellStart"/>
      <w:r w:rsidRPr="00AB4CF4">
        <w:rPr>
          <w:rFonts w:eastAsia="Times New Roman"/>
          <w:lang w:eastAsia="it-IT"/>
        </w:rPr>
        <w:t>DdL</w:t>
      </w:r>
      <w:proofErr w:type="spellEnd"/>
      <w:r w:rsidRPr="00AB4CF4">
        <w:rPr>
          <w:rFonts w:eastAsia="Times New Roman"/>
          <w:lang w:eastAsia="it-IT"/>
        </w:rPr>
        <w:t> reca i princìpi ed i criteri direttivi per l’</w:t>
      </w:r>
      <w:r w:rsidRPr="00AB4CF4">
        <w:rPr>
          <w:rFonts w:eastAsia="Times New Roman"/>
          <w:b/>
          <w:bCs/>
          <w:lang w:eastAsia="it-IT"/>
        </w:rPr>
        <w:t>attuazione della Direttiva SUP (2019/904)</w:t>
      </w:r>
      <w:r w:rsidRPr="00AB4CF4">
        <w:rPr>
          <w:rFonts w:eastAsia="Times New Roman"/>
          <w:lang w:eastAsia="it-IT"/>
        </w:rPr>
        <w:t>, contenente disposizioni sulla riduzione dell'incidenza di determinati prodotti di plastica sull'ambiente.  </w:t>
      </w:r>
    </w:p>
    <w:p w14:paraId="2F3D2491" w14:textId="77777777" w:rsidR="00AB4CF4" w:rsidRPr="00AB4CF4" w:rsidRDefault="00AB4CF4" w:rsidP="00EB41A8">
      <w:pPr>
        <w:textAlignment w:val="baseline"/>
        <w:rPr>
          <w:rFonts w:ascii="Segoe UI" w:eastAsia="Times New Roman" w:hAnsi="Segoe UI" w:cs="Segoe UI"/>
          <w:sz w:val="18"/>
          <w:szCs w:val="18"/>
          <w:lang w:eastAsia="it-IT"/>
        </w:rPr>
      </w:pPr>
      <w:r w:rsidRPr="00AB4CF4">
        <w:rPr>
          <w:rFonts w:eastAsia="Times New Roman"/>
          <w:lang w:eastAsia="it-IT"/>
        </w:rPr>
        <w:t>In particolare, il comma 1 definisce i seguenti principi e criteri direttivi specifici: </w:t>
      </w:r>
    </w:p>
    <w:p w14:paraId="57B092C9" w14:textId="77777777" w:rsidR="00AB4CF4" w:rsidRPr="00AB4CF4" w:rsidRDefault="00AB4CF4" w:rsidP="00EB41A8">
      <w:pPr>
        <w:numPr>
          <w:ilvl w:val="0"/>
          <w:numId w:val="13"/>
        </w:numPr>
        <w:ind w:left="1080" w:firstLine="0"/>
        <w:textAlignment w:val="baseline"/>
        <w:rPr>
          <w:rFonts w:ascii="Calibri" w:eastAsia="Times New Roman" w:hAnsi="Calibri" w:cs="Calibri"/>
          <w:lang w:eastAsia="it-IT"/>
        </w:rPr>
      </w:pPr>
      <w:r w:rsidRPr="00AB4CF4">
        <w:rPr>
          <w:rFonts w:eastAsia="Times New Roman"/>
          <w:lang w:eastAsia="it-IT"/>
        </w:rPr>
        <w:t>garantire una </w:t>
      </w:r>
      <w:r w:rsidRPr="00AB4CF4">
        <w:rPr>
          <w:rFonts w:eastAsia="Times New Roman"/>
          <w:b/>
          <w:bCs/>
          <w:lang w:eastAsia="it-IT"/>
        </w:rPr>
        <w:t>riduzione duratura del consumo</w:t>
      </w:r>
      <w:r w:rsidRPr="00AB4CF4">
        <w:rPr>
          <w:rFonts w:eastAsia="Times New Roman"/>
          <w:lang w:eastAsia="it-IT"/>
        </w:rPr>
        <w:t> dei prodotti monouso indicati nella parte A dell'allegato alla direttiva (tazze per bevande, inclusi tappi e coperchi, e contenitori per alimenti, compresi quelli tipo fast food o per altri pasti pronti per il consumo immediato) e promuovere la transizione verso un'economia circolare attraverso modelli imprenditoriali, prodotti e materiali innovativi e sostenibili, secondo quanto previsto dall'articolo 1 della direttiva e nel rispetto di quanto previsto dalla </w:t>
      </w:r>
      <w:hyperlink r:id="rId5" w:tgtFrame="_blank" w:history="1">
        <w:r w:rsidRPr="00AB4CF4">
          <w:rPr>
            <w:rFonts w:eastAsia="Times New Roman"/>
            <w:lang w:eastAsia="it-IT"/>
          </w:rPr>
          <w:t>legge 27 dicembre 2019, n. 160</w:t>
        </w:r>
      </w:hyperlink>
      <w:r w:rsidRPr="00AB4CF4">
        <w:rPr>
          <w:rFonts w:eastAsia="Times New Roman"/>
          <w:lang w:eastAsia="it-IT"/>
        </w:rPr>
        <w:t>, comma 653 (Legge di bilancio 2020). Si ricorda che il richiamato comma della Legge di bilancio 2020 riconosce alle imprese attive nel settore delle materie plastiche, che producono manufatti con singolo impiego destinati ad avere funzione di contenimento, protezione, manipolazione o consegna di merci o di prodotti alimentari, un credito di imposta del 10 per cento delle spese sostenute, dal 1° gennaio 2020 al 31 dicembre 2020, per l'adeguamento tecnologico finalizzati alla produzione di manufatti compostabili secondo lo standard EN 13432:2002 </w:t>
      </w:r>
    </w:p>
    <w:p w14:paraId="2BFC0722" w14:textId="77777777" w:rsidR="00AB4CF4" w:rsidRPr="00AB4CF4" w:rsidRDefault="00AB4CF4" w:rsidP="00EB41A8">
      <w:pPr>
        <w:numPr>
          <w:ilvl w:val="0"/>
          <w:numId w:val="13"/>
        </w:numPr>
        <w:ind w:left="1080" w:firstLine="0"/>
        <w:textAlignment w:val="baseline"/>
        <w:rPr>
          <w:rFonts w:ascii="Calibri" w:eastAsia="Times New Roman" w:hAnsi="Calibri" w:cs="Calibri"/>
          <w:lang w:eastAsia="it-IT"/>
        </w:rPr>
      </w:pPr>
      <w:r w:rsidRPr="00AB4CF4">
        <w:rPr>
          <w:rFonts w:eastAsia="Times New Roman"/>
          <w:b/>
          <w:bCs/>
          <w:lang w:eastAsia="it-IT"/>
        </w:rPr>
        <w:t>incoraggiare</w:t>
      </w:r>
      <w:r w:rsidRPr="00AB4CF4">
        <w:rPr>
          <w:rFonts w:eastAsia="Times New Roman"/>
          <w:lang w:eastAsia="it-IT"/>
        </w:rPr>
        <w:t>, per quanto riguarda i materiali destinati ad entrare in contatto con gli alimenti, </w:t>
      </w:r>
      <w:r w:rsidRPr="00AB4CF4">
        <w:rPr>
          <w:rFonts w:eastAsia="Times New Roman"/>
          <w:b/>
          <w:bCs/>
          <w:lang w:eastAsia="it-IT"/>
        </w:rPr>
        <w:t>l'uso di prodotti sostenibili e riutilizzabili</w:t>
      </w:r>
      <w:r w:rsidRPr="00AB4CF4">
        <w:rPr>
          <w:rFonts w:eastAsia="Times New Roman"/>
          <w:lang w:eastAsia="it-IT"/>
        </w:rPr>
        <w:t>, alternativi a quelli monouso. A tal fine potranno anche essere messi a disposizione del consumatore finale, presso i punti vendita, prodotti riutilizzabili, opportunamente definiti nelle loro caratteristiche tecniche, in modo da garantire effettivi e molteplici utilizzi, comunque nel rispetto della normativa in materia di igiene e sicurezza degli alimenti; </w:t>
      </w:r>
    </w:p>
    <w:p w14:paraId="7EAA5C38" w14:textId="77777777" w:rsidR="00AB4CF4" w:rsidRPr="00AB4CF4" w:rsidRDefault="00AB4CF4" w:rsidP="00EB41A8">
      <w:pPr>
        <w:numPr>
          <w:ilvl w:val="0"/>
          <w:numId w:val="14"/>
        </w:numPr>
        <w:ind w:left="1080" w:firstLine="0"/>
        <w:textAlignment w:val="baseline"/>
        <w:rPr>
          <w:rFonts w:ascii="Calibri" w:eastAsia="Times New Roman" w:hAnsi="Calibri" w:cs="Calibri"/>
          <w:lang w:eastAsia="it-IT"/>
        </w:rPr>
      </w:pPr>
      <w:r w:rsidRPr="00AB4CF4">
        <w:rPr>
          <w:rFonts w:eastAsia="Times New Roman"/>
          <w:lang w:eastAsia="it-IT"/>
        </w:rPr>
        <w:t>ove non sia possibile l’uso di alternative riutilizzabili ai prodotti di plastica monouso destinati ad entrare in contatto con alimenti elencati nella parte B dell’allegato alla direttiva SUP, prevedere la </w:t>
      </w:r>
      <w:r w:rsidRPr="00AB4CF4">
        <w:rPr>
          <w:rFonts w:eastAsia="Times New Roman"/>
          <w:b/>
          <w:bCs/>
          <w:lang w:eastAsia="it-IT"/>
        </w:rPr>
        <w:t>graduale restrizione all’immissione nel mercato</w:t>
      </w:r>
      <w:r w:rsidRPr="00AB4CF4">
        <w:rPr>
          <w:rFonts w:eastAsia="Times New Roman"/>
          <w:lang w:eastAsia="it-IT"/>
        </w:rPr>
        <w:t> dei medesimi nel rispetto dei termini temporali previsti dalla direttiva stessa, </w:t>
      </w:r>
      <w:r w:rsidRPr="00AB4CF4">
        <w:rPr>
          <w:rFonts w:eastAsia="Times New Roman"/>
          <w:b/>
          <w:bCs/>
          <w:lang w:eastAsia="it-IT"/>
        </w:rPr>
        <w:t>consentendone l’immissione</w:t>
      </w:r>
      <w:r w:rsidRPr="00AB4CF4">
        <w:rPr>
          <w:rFonts w:eastAsia="Times New Roman"/>
          <w:lang w:eastAsia="it-IT"/>
        </w:rPr>
        <w:t> nel mercato </w:t>
      </w:r>
      <w:r w:rsidRPr="00AB4CF4">
        <w:rPr>
          <w:rFonts w:eastAsia="Times New Roman"/>
          <w:b/>
          <w:bCs/>
          <w:lang w:eastAsia="it-IT"/>
        </w:rPr>
        <w:t>qualora realizzati in plastica biodegradabile e compostabile</w:t>
      </w:r>
      <w:r w:rsidRPr="00AB4CF4">
        <w:rPr>
          <w:rFonts w:eastAsia="Times New Roman"/>
          <w:lang w:eastAsia="it-IT"/>
        </w:rPr>
        <w:t> certificata conforme allo standard europeo della norma UNI EN 13432 e con percentuali crescenti di materia prima rinnovabile; </w:t>
      </w:r>
    </w:p>
    <w:p w14:paraId="68A0CB60" w14:textId="77777777" w:rsidR="00AB4CF4" w:rsidRPr="00AB4CF4" w:rsidRDefault="00AB4CF4" w:rsidP="00EB41A8">
      <w:pPr>
        <w:numPr>
          <w:ilvl w:val="0"/>
          <w:numId w:val="14"/>
        </w:numPr>
        <w:ind w:left="1080" w:firstLine="0"/>
        <w:textAlignment w:val="baseline"/>
        <w:rPr>
          <w:rFonts w:ascii="Calibri" w:eastAsia="Times New Roman" w:hAnsi="Calibri" w:cs="Calibri"/>
          <w:lang w:eastAsia="it-IT"/>
        </w:rPr>
      </w:pPr>
      <w:r w:rsidRPr="00AB4CF4">
        <w:rPr>
          <w:rFonts w:eastAsia="Times New Roman"/>
          <w:lang w:eastAsia="it-IT"/>
        </w:rPr>
        <w:t>adottare misure volte ad </w:t>
      </w:r>
      <w:r w:rsidRPr="00AB4CF4">
        <w:rPr>
          <w:rFonts w:eastAsia="Times New Roman"/>
          <w:b/>
          <w:bCs/>
          <w:lang w:eastAsia="it-IT"/>
        </w:rPr>
        <w:t>informare e sensibilizzare i consumatori</w:t>
      </w:r>
      <w:r w:rsidRPr="00AB4CF4">
        <w:rPr>
          <w:rFonts w:eastAsia="Times New Roman"/>
          <w:lang w:eastAsia="it-IT"/>
        </w:rPr>
        <w:t> e ad incentivarli ad assumere un comportamento responsabile al fine di ridurre la dispersione dei rifiuti derivanti dai prodotti contemplati dalla direttiva, nonché adeguate misure finalizzate a ridurre la dispersione dei rifiuti derivanti dal rilascio di palloncini, con esclusione di quelli per uso industriale o altri usi e applicazioni professionali non distribuiti ai consumatori; </w:t>
      </w:r>
    </w:p>
    <w:p w14:paraId="7BA7059A" w14:textId="36C66666" w:rsidR="00AB4CF4" w:rsidRPr="008A0A06" w:rsidRDefault="00AB4CF4" w:rsidP="00EB41A8">
      <w:pPr>
        <w:numPr>
          <w:ilvl w:val="0"/>
          <w:numId w:val="14"/>
        </w:numPr>
        <w:ind w:left="1080" w:firstLine="0"/>
        <w:textAlignment w:val="baseline"/>
        <w:rPr>
          <w:rFonts w:ascii="Calibri" w:eastAsia="Times New Roman" w:hAnsi="Calibri" w:cs="Calibri"/>
          <w:b/>
          <w:bCs/>
          <w:u w:val="single"/>
          <w:lang w:eastAsia="it-IT"/>
        </w:rPr>
      </w:pPr>
      <w:r w:rsidRPr="00AB4CF4">
        <w:rPr>
          <w:rFonts w:eastAsia="Times New Roman"/>
          <w:lang w:eastAsia="it-IT"/>
        </w:rPr>
        <w:t>includere i </w:t>
      </w:r>
      <w:r w:rsidRPr="00AB4CF4">
        <w:rPr>
          <w:rFonts w:eastAsia="Times New Roman"/>
          <w:b/>
          <w:bCs/>
          <w:lang w:eastAsia="it-IT"/>
        </w:rPr>
        <w:t>bicchieri di plastica</w:t>
      </w:r>
      <w:r w:rsidRPr="00AB4CF4">
        <w:rPr>
          <w:rFonts w:eastAsia="Times New Roman"/>
          <w:lang w:eastAsia="it-IT"/>
        </w:rPr>
        <w:t> tra i prodotti di plastica monouso a cui si applicano le disposizioni sulla riduzione del consumo di cui all’articolo 4 della direttiva SUP. </w:t>
      </w:r>
      <w:r w:rsidRPr="008A0A06">
        <w:rPr>
          <w:rFonts w:eastAsia="Times New Roman"/>
          <w:b/>
          <w:bCs/>
          <w:u w:val="single"/>
          <w:lang w:eastAsia="it-IT"/>
        </w:rPr>
        <w:t xml:space="preserve">Grazie all’intervento di Confindustria viene, però, previsto che </w:t>
      </w:r>
      <w:r w:rsidRPr="008A0A06">
        <w:rPr>
          <w:rFonts w:eastAsia="Times New Roman"/>
          <w:b/>
          <w:bCs/>
          <w:u w:val="single"/>
          <w:lang w:eastAsia="it-IT"/>
        </w:rPr>
        <w:lastRenderedPageBreak/>
        <w:t>tale inclusione avvenga esclusivamente se in accordo con le Linee guida che la Commissione europea dovrà emanare a norma dell'articolo 12 della direttiva</w:t>
      </w:r>
      <w:r w:rsidR="00C24AF8" w:rsidRPr="008A0A06">
        <w:rPr>
          <w:rFonts w:eastAsia="Times New Roman"/>
          <w:b/>
          <w:bCs/>
          <w:u w:val="single"/>
          <w:lang w:eastAsia="it-IT"/>
        </w:rPr>
        <w:t>. A riguardo, stiamo lavorando anche con la BDI</w:t>
      </w:r>
      <w:r w:rsidR="00852675" w:rsidRPr="008A0A06">
        <w:rPr>
          <w:rFonts w:eastAsia="Times New Roman"/>
          <w:b/>
          <w:bCs/>
          <w:u w:val="single"/>
          <w:lang w:eastAsia="it-IT"/>
        </w:rPr>
        <w:t xml:space="preserve"> sulle Linee guida per superare le criticità rilevate nelle ultime bozze circolate.</w:t>
      </w:r>
      <w:r w:rsidR="00C82CDA" w:rsidRPr="008A0A06">
        <w:rPr>
          <w:rFonts w:eastAsia="Times New Roman"/>
          <w:b/>
          <w:bCs/>
          <w:u w:val="single"/>
          <w:lang w:eastAsia="it-IT"/>
        </w:rPr>
        <w:t xml:space="preserve"> Continueremo a monitorare per la corretta implementazione della direttiva SUP nel nostro Paese.</w:t>
      </w:r>
    </w:p>
    <w:p w14:paraId="518EDC15" w14:textId="77777777" w:rsidR="00AB4CF4" w:rsidRPr="00AB4CF4" w:rsidRDefault="00AB4CF4" w:rsidP="00EB41A8">
      <w:pPr>
        <w:numPr>
          <w:ilvl w:val="0"/>
          <w:numId w:val="14"/>
        </w:numPr>
        <w:ind w:left="1080" w:firstLine="0"/>
        <w:textAlignment w:val="baseline"/>
        <w:rPr>
          <w:rFonts w:ascii="Calibri" w:eastAsia="Times New Roman" w:hAnsi="Calibri" w:cs="Calibri"/>
          <w:lang w:eastAsia="it-IT"/>
        </w:rPr>
      </w:pPr>
      <w:r w:rsidRPr="00AB4CF4">
        <w:rPr>
          <w:rFonts w:eastAsia="Times New Roman"/>
          <w:lang w:eastAsia="it-IT"/>
        </w:rPr>
        <w:t>introdurre, in linea con l'articolo 14 della direttiva, una </w:t>
      </w:r>
      <w:r w:rsidRPr="00AB4CF4">
        <w:rPr>
          <w:rFonts w:eastAsia="Times New Roman"/>
          <w:b/>
          <w:bCs/>
          <w:lang w:eastAsia="it-IT"/>
        </w:rPr>
        <w:t>disciplina sanzionatoria</w:t>
      </w:r>
      <w:r w:rsidRPr="00AB4CF4">
        <w:rPr>
          <w:rFonts w:eastAsia="Times New Roman"/>
          <w:lang w:eastAsia="it-IT"/>
        </w:rPr>
        <w:t> effettiva, proporzionata e dissuasiva per i casi di violazione dei divieti e delle disposizioni previste dalla direttiva. In base alla suddetta disciplina i proventi delle sanzioni dovranno essere devoluti agli enti di appartenenza dei soggetti che procedono agli accertamenti delle violazioni e destinati, all'interno dei bilanci di tali enti, al potenziamento delle attività di controllo e all'accertamento delle violazioni </w:t>
      </w:r>
    </w:p>
    <w:p w14:paraId="709DE446" w14:textId="77777777" w:rsidR="00AB4CF4" w:rsidRPr="00AB4CF4" w:rsidRDefault="00AB4CF4" w:rsidP="00EB41A8">
      <w:pPr>
        <w:numPr>
          <w:ilvl w:val="0"/>
          <w:numId w:val="14"/>
        </w:numPr>
        <w:ind w:left="1080" w:firstLine="0"/>
        <w:jc w:val="left"/>
        <w:textAlignment w:val="baseline"/>
        <w:rPr>
          <w:rFonts w:ascii="Calibri" w:eastAsia="Times New Roman" w:hAnsi="Calibri" w:cs="Calibri"/>
          <w:lang w:eastAsia="it-IT"/>
        </w:rPr>
      </w:pPr>
      <w:r w:rsidRPr="00AB4CF4">
        <w:rPr>
          <w:rFonts w:eastAsia="Times New Roman"/>
          <w:lang w:eastAsia="it-IT"/>
        </w:rPr>
        <w:t>prevedere, contestualmente al recepimento della direttiva, l'abrogazione dell'articolo 226-quater sulle plastiche monouso del d.lgs. 3 aprile 2006 n. 152. </w:t>
      </w:r>
    </w:p>
    <w:p w14:paraId="744B38AE" w14:textId="77777777" w:rsidR="00AB4CF4" w:rsidRPr="00AB4CF4" w:rsidRDefault="00AB4CF4" w:rsidP="00EB41A8">
      <w:pPr>
        <w:jc w:val="left"/>
        <w:textAlignment w:val="baseline"/>
        <w:rPr>
          <w:rFonts w:ascii="Segoe UI" w:eastAsia="Times New Roman" w:hAnsi="Segoe UI" w:cs="Segoe UI"/>
          <w:sz w:val="18"/>
          <w:szCs w:val="18"/>
          <w:lang w:eastAsia="it-IT"/>
        </w:rPr>
      </w:pPr>
      <w:r w:rsidRPr="00AB4CF4">
        <w:rPr>
          <w:rFonts w:eastAsia="Times New Roman"/>
          <w:lang w:eastAsia="it-IT"/>
        </w:rPr>
        <w:t>Il comma 2, infine, è relativo alle coperture finanziarie.</w:t>
      </w:r>
    </w:p>
    <w:p w14:paraId="3CD1EE98" w14:textId="77777777" w:rsidR="00AE022D" w:rsidRPr="00256445" w:rsidRDefault="00AE022D" w:rsidP="00256445"/>
    <w:sectPr w:rsidR="00AE022D" w:rsidRPr="002564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28D"/>
    <w:multiLevelType w:val="multilevel"/>
    <w:tmpl w:val="2FB0F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64364"/>
    <w:multiLevelType w:val="multilevel"/>
    <w:tmpl w:val="0FDCA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8696D"/>
    <w:multiLevelType w:val="multilevel"/>
    <w:tmpl w:val="B058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96496"/>
    <w:multiLevelType w:val="multilevel"/>
    <w:tmpl w:val="4DC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C2A19"/>
    <w:multiLevelType w:val="multilevel"/>
    <w:tmpl w:val="9010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745A0"/>
    <w:multiLevelType w:val="multilevel"/>
    <w:tmpl w:val="86E4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D6358"/>
    <w:multiLevelType w:val="multilevel"/>
    <w:tmpl w:val="0BE24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C0667B"/>
    <w:multiLevelType w:val="multilevel"/>
    <w:tmpl w:val="B4466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01C2B"/>
    <w:multiLevelType w:val="multilevel"/>
    <w:tmpl w:val="89F88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F46F8B"/>
    <w:multiLevelType w:val="multilevel"/>
    <w:tmpl w:val="F68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A23D5F"/>
    <w:multiLevelType w:val="multilevel"/>
    <w:tmpl w:val="5A1A3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411C8D"/>
    <w:multiLevelType w:val="multilevel"/>
    <w:tmpl w:val="24B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342F9F"/>
    <w:multiLevelType w:val="multilevel"/>
    <w:tmpl w:val="499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924EA8"/>
    <w:multiLevelType w:val="multilevel"/>
    <w:tmpl w:val="9F6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7"/>
  </w:num>
  <w:num w:numId="4">
    <w:abstractNumId w:val="0"/>
  </w:num>
  <w:num w:numId="5">
    <w:abstractNumId w:val="8"/>
  </w:num>
  <w:num w:numId="6">
    <w:abstractNumId w:val="5"/>
  </w:num>
  <w:num w:numId="7">
    <w:abstractNumId w:val="10"/>
  </w:num>
  <w:num w:numId="8">
    <w:abstractNumId w:val="9"/>
  </w:num>
  <w:num w:numId="9">
    <w:abstractNumId w:val="11"/>
  </w:num>
  <w:num w:numId="10">
    <w:abstractNumId w:val="12"/>
  </w:num>
  <w:num w:numId="11">
    <w:abstractNumId w:val="2"/>
  </w:num>
  <w:num w:numId="12">
    <w:abstractNumId w:val="3"/>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0A"/>
    <w:rsid w:val="00256445"/>
    <w:rsid w:val="005B1B8A"/>
    <w:rsid w:val="007D6C04"/>
    <w:rsid w:val="00850B60"/>
    <w:rsid w:val="00852675"/>
    <w:rsid w:val="008A0A06"/>
    <w:rsid w:val="00AB4CF4"/>
    <w:rsid w:val="00AE022D"/>
    <w:rsid w:val="00BA0F0A"/>
    <w:rsid w:val="00C24AF8"/>
    <w:rsid w:val="00C3785E"/>
    <w:rsid w:val="00C759B5"/>
    <w:rsid w:val="00C82CDA"/>
    <w:rsid w:val="00CC2195"/>
    <w:rsid w:val="00EB4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26EE"/>
  <w15:chartTrackingRefBased/>
  <w15:docId w15:val="{F5F2722E-A022-46DD-98D1-38DD5AED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it-IT"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256445"/>
    <w:pPr>
      <w:spacing w:before="100" w:beforeAutospacing="1" w:after="100" w:afterAutospacing="1" w:line="240" w:lineRule="auto"/>
      <w:jc w:val="left"/>
    </w:pPr>
    <w:rPr>
      <w:rFonts w:ascii="Calibri" w:hAnsi="Calibri" w:cs="Calibri"/>
      <w:sz w:val="22"/>
      <w:szCs w:val="22"/>
      <w:lang w:eastAsia="it-IT"/>
    </w:rPr>
  </w:style>
  <w:style w:type="character" w:customStyle="1" w:styleId="normaltextrun">
    <w:name w:val="normaltextrun"/>
    <w:basedOn w:val="Carpredefinitoparagrafo"/>
    <w:rsid w:val="00256445"/>
  </w:style>
  <w:style w:type="character" w:customStyle="1" w:styleId="eop">
    <w:name w:val="eop"/>
    <w:basedOn w:val="Carpredefinitoparagrafo"/>
    <w:rsid w:val="0025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0004">
      <w:bodyDiv w:val="1"/>
      <w:marLeft w:val="0"/>
      <w:marRight w:val="0"/>
      <w:marTop w:val="0"/>
      <w:marBottom w:val="0"/>
      <w:divBdr>
        <w:top w:val="none" w:sz="0" w:space="0" w:color="auto"/>
        <w:left w:val="none" w:sz="0" w:space="0" w:color="auto"/>
        <w:bottom w:val="none" w:sz="0" w:space="0" w:color="auto"/>
        <w:right w:val="none" w:sz="0" w:space="0" w:color="auto"/>
      </w:divBdr>
    </w:div>
    <w:div w:id="1524778781">
      <w:bodyDiv w:val="1"/>
      <w:marLeft w:val="0"/>
      <w:marRight w:val="0"/>
      <w:marTop w:val="0"/>
      <w:marBottom w:val="0"/>
      <w:divBdr>
        <w:top w:val="none" w:sz="0" w:space="0" w:color="auto"/>
        <w:left w:val="none" w:sz="0" w:space="0" w:color="auto"/>
        <w:bottom w:val="none" w:sz="0" w:space="0" w:color="auto"/>
        <w:right w:val="none" w:sz="0" w:space="0" w:color="auto"/>
      </w:divBdr>
      <w:divsChild>
        <w:div w:id="1172138440">
          <w:marLeft w:val="0"/>
          <w:marRight w:val="0"/>
          <w:marTop w:val="0"/>
          <w:marBottom w:val="0"/>
          <w:divBdr>
            <w:top w:val="none" w:sz="0" w:space="0" w:color="auto"/>
            <w:left w:val="none" w:sz="0" w:space="0" w:color="auto"/>
            <w:bottom w:val="none" w:sz="0" w:space="0" w:color="auto"/>
            <w:right w:val="none" w:sz="0" w:space="0" w:color="auto"/>
          </w:divBdr>
          <w:divsChild>
            <w:div w:id="1303150510">
              <w:marLeft w:val="0"/>
              <w:marRight w:val="0"/>
              <w:marTop w:val="0"/>
              <w:marBottom w:val="0"/>
              <w:divBdr>
                <w:top w:val="none" w:sz="0" w:space="0" w:color="auto"/>
                <w:left w:val="none" w:sz="0" w:space="0" w:color="auto"/>
                <w:bottom w:val="none" w:sz="0" w:space="0" w:color="auto"/>
                <w:right w:val="none" w:sz="0" w:space="0" w:color="auto"/>
              </w:divBdr>
            </w:div>
            <w:div w:id="171073057">
              <w:marLeft w:val="0"/>
              <w:marRight w:val="0"/>
              <w:marTop w:val="0"/>
              <w:marBottom w:val="0"/>
              <w:divBdr>
                <w:top w:val="none" w:sz="0" w:space="0" w:color="auto"/>
                <w:left w:val="none" w:sz="0" w:space="0" w:color="auto"/>
                <w:bottom w:val="none" w:sz="0" w:space="0" w:color="auto"/>
                <w:right w:val="none" w:sz="0" w:space="0" w:color="auto"/>
              </w:divBdr>
            </w:div>
          </w:divsChild>
        </w:div>
        <w:div w:id="490684370">
          <w:marLeft w:val="0"/>
          <w:marRight w:val="0"/>
          <w:marTop w:val="0"/>
          <w:marBottom w:val="0"/>
          <w:divBdr>
            <w:top w:val="none" w:sz="0" w:space="0" w:color="auto"/>
            <w:left w:val="none" w:sz="0" w:space="0" w:color="auto"/>
            <w:bottom w:val="none" w:sz="0" w:space="0" w:color="auto"/>
            <w:right w:val="none" w:sz="0" w:space="0" w:color="auto"/>
          </w:divBdr>
          <w:divsChild>
            <w:div w:id="1113356295">
              <w:marLeft w:val="0"/>
              <w:marRight w:val="0"/>
              <w:marTop w:val="0"/>
              <w:marBottom w:val="0"/>
              <w:divBdr>
                <w:top w:val="none" w:sz="0" w:space="0" w:color="auto"/>
                <w:left w:val="none" w:sz="0" w:space="0" w:color="auto"/>
                <w:bottom w:val="none" w:sz="0" w:space="0" w:color="auto"/>
                <w:right w:val="none" w:sz="0" w:space="0" w:color="auto"/>
              </w:divBdr>
            </w:div>
            <w:div w:id="1143037562">
              <w:marLeft w:val="0"/>
              <w:marRight w:val="0"/>
              <w:marTop w:val="0"/>
              <w:marBottom w:val="0"/>
              <w:divBdr>
                <w:top w:val="none" w:sz="0" w:space="0" w:color="auto"/>
                <w:left w:val="none" w:sz="0" w:space="0" w:color="auto"/>
                <w:bottom w:val="none" w:sz="0" w:space="0" w:color="auto"/>
                <w:right w:val="none" w:sz="0" w:space="0" w:color="auto"/>
              </w:divBdr>
            </w:div>
          </w:divsChild>
        </w:div>
        <w:div w:id="1627736817">
          <w:marLeft w:val="0"/>
          <w:marRight w:val="0"/>
          <w:marTop w:val="0"/>
          <w:marBottom w:val="0"/>
          <w:divBdr>
            <w:top w:val="none" w:sz="0" w:space="0" w:color="auto"/>
            <w:left w:val="none" w:sz="0" w:space="0" w:color="auto"/>
            <w:bottom w:val="none" w:sz="0" w:space="0" w:color="auto"/>
            <w:right w:val="none" w:sz="0" w:space="0" w:color="auto"/>
          </w:divBdr>
          <w:divsChild>
            <w:div w:id="1848984126">
              <w:marLeft w:val="0"/>
              <w:marRight w:val="0"/>
              <w:marTop w:val="0"/>
              <w:marBottom w:val="0"/>
              <w:divBdr>
                <w:top w:val="none" w:sz="0" w:space="0" w:color="auto"/>
                <w:left w:val="none" w:sz="0" w:space="0" w:color="auto"/>
                <w:bottom w:val="none" w:sz="0" w:space="0" w:color="auto"/>
                <w:right w:val="none" w:sz="0" w:space="0" w:color="auto"/>
              </w:divBdr>
            </w:div>
          </w:divsChild>
        </w:div>
        <w:div w:id="41760147">
          <w:marLeft w:val="0"/>
          <w:marRight w:val="0"/>
          <w:marTop w:val="0"/>
          <w:marBottom w:val="0"/>
          <w:divBdr>
            <w:top w:val="none" w:sz="0" w:space="0" w:color="auto"/>
            <w:left w:val="none" w:sz="0" w:space="0" w:color="auto"/>
            <w:bottom w:val="none" w:sz="0" w:space="0" w:color="auto"/>
            <w:right w:val="none" w:sz="0" w:space="0" w:color="auto"/>
          </w:divBdr>
          <w:divsChild>
            <w:div w:id="544563405">
              <w:marLeft w:val="0"/>
              <w:marRight w:val="0"/>
              <w:marTop w:val="0"/>
              <w:marBottom w:val="0"/>
              <w:divBdr>
                <w:top w:val="none" w:sz="0" w:space="0" w:color="auto"/>
                <w:left w:val="none" w:sz="0" w:space="0" w:color="auto"/>
                <w:bottom w:val="none" w:sz="0" w:space="0" w:color="auto"/>
                <w:right w:val="none" w:sz="0" w:space="0" w:color="auto"/>
              </w:divBdr>
            </w:div>
            <w:div w:id="1326469006">
              <w:marLeft w:val="0"/>
              <w:marRight w:val="0"/>
              <w:marTop w:val="0"/>
              <w:marBottom w:val="0"/>
              <w:divBdr>
                <w:top w:val="none" w:sz="0" w:space="0" w:color="auto"/>
                <w:left w:val="none" w:sz="0" w:space="0" w:color="auto"/>
                <w:bottom w:val="none" w:sz="0" w:space="0" w:color="auto"/>
                <w:right w:val="none" w:sz="0" w:space="0" w:color="auto"/>
              </w:divBdr>
            </w:div>
            <w:div w:id="376394848">
              <w:marLeft w:val="0"/>
              <w:marRight w:val="0"/>
              <w:marTop w:val="0"/>
              <w:marBottom w:val="0"/>
              <w:divBdr>
                <w:top w:val="none" w:sz="0" w:space="0" w:color="auto"/>
                <w:left w:val="none" w:sz="0" w:space="0" w:color="auto"/>
                <w:bottom w:val="none" w:sz="0" w:space="0" w:color="auto"/>
                <w:right w:val="none" w:sz="0" w:space="0" w:color="auto"/>
              </w:divBdr>
            </w:div>
          </w:divsChild>
        </w:div>
        <w:div w:id="1728987631">
          <w:marLeft w:val="0"/>
          <w:marRight w:val="0"/>
          <w:marTop w:val="0"/>
          <w:marBottom w:val="0"/>
          <w:divBdr>
            <w:top w:val="none" w:sz="0" w:space="0" w:color="auto"/>
            <w:left w:val="none" w:sz="0" w:space="0" w:color="auto"/>
            <w:bottom w:val="none" w:sz="0" w:space="0" w:color="auto"/>
            <w:right w:val="none" w:sz="0" w:space="0" w:color="auto"/>
          </w:divBdr>
          <w:divsChild>
            <w:div w:id="1523587091">
              <w:marLeft w:val="0"/>
              <w:marRight w:val="0"/>
              <w:marTop w:val="0"/>
              <w:marBottom w:val="0"/>
              <w:divBdr>
                <w:top w:val="none" w:sz="0" w:space="0" w:color="auto"/>
                <w:left w:val="none" w:sz="0" w:space="0" w:color="auto"/>
                <w:bottom w:val="none" w:sz="0" w:space="0" w:color="auto"/>
                <w:right w:val="none" w:sz="0" w:space="0" w:color="auto"/>
              </w:divBdr>
            </w:div>
            <w:div w:id="295913641">
              <w:marLeft w:val="0"/>
              <w:marRight w:val="0"/>
              <w:marTop w:val="0"/>
              <w:marBottom w:val="0"/>
              <w:divBdr>
                <w:top w:val="none" w:sz="0" w:space="0" w:color="auto"/>
                <w:left w:val="none" w:sz="0" w:space="0" w:color="auto"/>
                <w:bottom w:val="none" w:sz="0" w:space="0" w:color="auto"/>
                <w:right w:val="none" w:sz="0" w:space="0" w:color="auto"/>
              </w:divBdr>
            </w:div>
            <w:div w:id="229006663">
              <w:marLeft w:val="0"/>
              <w:marRight w:val="0"/>
              <w:marTop w:val="0"/>
              <w:marBottom w:val="0"/>
              <w:divBdr>
                <w:top w:val="none" w:sz="0" w:space="0" w:color="auto"/>
                <w:left w:val="none" w:sz="0" w:space="0" w:color="auto"/>
                <w:bottom w:val="none" w:sz="0" w:space="0" w:color="auto"/>
                <w:right w:val="none" w:sz="0" w:space="0" w:color="auto"/>
              </w:divBdr>
            </w:div>
            <w:div w:id="1636259178">
              <w:marLeft w:val="0"/>
              <w:marRight w:val="0"/>
              <w:marTop w:val="0"/>
              <w:marBottom w:val="0"/>
              <w:divBdr>
                <w:top w:val="none" w:sz="0" w:space="0" w:color="auto"/>
                <w:left w:val="none" w:sz="0" w:space="0" w:color="auto"/>
                <w:bottom w:val="none" w:sz="0" w:space="0" w:color="auto"/>
                <w:right w:val="none" w:sz="0" w:space="0" w:color="auto"/>
              </w:divBdr>
            </w:div>
          </w:divsChild>
        </w:div>
        <w:div w:id="1868638375">
          <w:marLeft w:val="0"/>
          <w:marRight w:val="0"/>
          <w:marTop w:val="0"/>
          <w:marBottom w:val="0"/>
          <w:divBdr>
            <w:top w:val="none" w:sz="0" w:space="0" w:color="auto"/>
            <w:left w:val="none" w:sz="0" w:space="0" w:color="auto"/>
            <w:bottom w:val="none" w:sz="0" w:space="0" w:color="auto"/>
            <w:right w:val="none" w:sz="0" w:space="0" w:color="auto"/>
          </w:divBdr>
          <w:divsChild>
            <w:div w:id="536165623">
              <w:marLeft w:val="0"/>
              <w:marRight w:val="0"/>
              <w:marTop w:val="0"/>
              <w:marBottom w:val="0"/>
              <w:divBdr>
                <w:top w:val="none" w:sz="0" w:space="0" w:color="auto"/>
                <w:left w:val="none" w:sz="0" w:space="0" w:color="auto"/>
                <w:bottom w:val="none" w:sz="0" w:space="0" w:color="auto"/>
                <w:right w:val="none" w:sz="0" w:space="0" w:color="auto"/>
              </w:divBdr>
            </w:div>
          </w:divsChild>
        </w:div>
        <w:div w:id="31090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mattiva.it/uri-res/N2Ls?urn:nir:stato:legge:2019-12-27;160!vig=2020-09-08"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1971</Words>
  <Characters>11239</Characters>
  <Application>Microsoft Office Word</Application>
  <DocSecurity>0</DocSecurity>
  <Lines>93</Lines>
  <Paragraphs>26</Paragraphs>
  <ScaleCrop>false</ScaleCrop>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Palma Federico</dc:creator>
  <cp:keywords/>
  <dc:description/>
  <cp:lastModifiedBy>Mancusi Caterina</cp:lastModifiedBy>
  <cp:revision>16</cp:revision>
  <dcterms:created xsi:type="dcterms:W3CDTF">2021-04-23T15:31:00Z</dcterms:created>
  <dcterms:modified xsi:type="dcterms:W3CDTF">2021-04-23T15:53:00Z</dcterms:modified>
</cp:coreProperties>
</file>