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41" w:rsidRDefault="00AD0541" w:rsidP="004E41EE">
      <w:pPr>
        <w:rPr>
          <w:rFonts w:ascii="Times New Roman" w:hAnsi="Times New Roman" w:cs="Times New Roman"/>
          <w:b/>
          <w:sz w:val="24"/>
          <w:szCs w:val="24"/>
        </w:rPr>
      </w:pPr>
    </w:p>
    <w:p w:rsidR="004E41EE" w:rsidRPr="00AD0541" w:rsidRDefault="004E41EE" w:rsidP="004E41EE">
      <w:pPr>
        <w:rPr>
          <w:rFonts w:ascii="Times New Roman" w:hAnsi="Times New Roman" w:cs="Times New Roman"/>
          <w:b/>
        </w:rPr>
      </w:pPr>
      <w:r w:rsidRPr="00AD0541">
        <w:rPr>
          <w:rFonts w:ascii="Times New Roman" w:hAnsi="Times New Roman" w:cs="Times New Roman"/>
          <w:b/>
        </w:rPr>
        <w:t>Gentile Consorziato</w:t>
      </w:r>
      <w:r w:rsidRPr="00AD0541">
        <w:rPr>
          <w:rFonts w:ascii="Times New Roman" w:hAnsi="Times New Roman" w:cs="Times New Roman"/>
          <w:b/>
        </w:rPr>
        <w:tab/>
      </w:r>
      <w:r w:rsidR="00793BC3" w:rsidRPr="00AD0541">
        <w:rPr>
          <w:rFonts w:ascii="Times New Roman" w:hAnsi="Times New Roman" w:cs="Times New Roman"/>
          <w:b/>
        </w:rPr>
        <w:t xml:space="preserve"> (codice</w:t>
      </w:r>
      <w:r w:rsidRPr="00AD0541">
        <w:rPr>
          <w:rFonts w:ascii="Times New Roman" w:hAnsi="Times New Roman" w:cs="Times New Roman"/>
          <w:b/>
        </w:rPr>
        <w:t xml:space="preserve">: </w:t>
      </w:r>
      <w:r w:rsidRPr="00AD0541">
        <w:rPr>
          <w:rFonts w:ascii="Times New Roman" w:hAnsi="Times New Roman" w:cs="Times New Roman"/>
          <w:b/>
        </w:rPr>
        <w:fldChar w:fldCharType="begin"/>
      </w:r>
      <w:r w:rsidRPr="00AD0541">
        <w:rPr>
          <w:rFonts w:ascii="Times New Roman" w:hAnsi="Times New Roman" w:cs="Times New Roman"/>
          <w:b/>
        </w:rPr>
        <w:instrText xml:space="preserve"> MERGEFIELD  m3c__so_codice_socio \* Lower  \* MERGEFORMAT </w:instrText>
      </w:r>
      <w:r w:rsidRPr="00AD0541">
        <w:rPr>
          <w:rFonts w:ascii="Times New Roman" w:hAnsi="Times New Roman" w:cs="Times New Roman"/>
          <w:b/>
        </w:rPr>
        <w:fldChar w:fldCharType="separate"/>
      </w:r>
      <w:r w:rsidRPr="00AD0541">
        <w:rPr>
          <w:rFonts w:ascii="Times New Roman" w:hAnsi="Times New Roman" w:cs="Times New Roman"/>
          <w:b/>
          <w:noProof/>
        </w:rPr>
        <w:t>«m3c__so_codice_socio»</w:t>
      </w:r>
      <w:r w:rsidRPr="00AD0541">
        <w:rPr>
          <w:rFonts w:ascii="Times New Roman" w:hAnsi="Times New Roman" w:cs="Times New Roman"/>
          <w:b/>
        </w:rPr>
        <w:fldChar w:fldCharType="end"/>
      </w:r>
      <w:r w:rsidRPr="00AD0541">
        <w:rPr>
          <w:rFonts w:ascii="Times New Roman" w:hAnsi="Times New Roman" w:cs="Times New Roman"/>
          <w:b/>
        </w:rPr>
        <w:t>),</w:t>
      </w:r>
    </w:p>
    <w:p w:rsidR="002C71B5" w:rsidRPr="00AD0541" w:rsidRDefault="002C71B5" w:rsidP="002C71B5">
      <w:pPr>
        <w:spacing w:after="0" w:line="240" w:lineRule="auto"/>
        <w:ind w:right="98"/>
        <w:jc w:val="both"/>
        <w:rPr>
          <w:rFonts w:ascii="Times New Roman" w:eastAsia="Times" w:hAnsi="Times New Roman" w:cs="Times New Roman"/>
          <w:lang w:eastAsia="it-IT"/>
        </w:rPr>
      </w:pPr>
      <w:r w:rsidRPr="00AD0541">
        <w:rPr>
          <w:rFonts w:ascii="Times New Roman" w:eastAsia="Times" w:hAnsi="Times New Roman" w:cs="Times New Roman"/>
          <w:lang w:eastAsia="it-IT"/>
        </w:rPr>
        <w:t>Come per l’anno 2019, Conai ha ritenuto utile ricordare agli esportatori di imballaggi/merci imballate alcune delle principali novità riguardanti i Moduli 6.5 (</w:t>
      </w:r>
      <w:r w:rsidRPr="00AD0541">
        <w:rPr>
          <w:rFonts w:ascii="Times New Roman" w:eastAsia="Times" w:hAnsi="Times New Roman" w:cs="Times New Roman"/>
          <w:i/>
          <w:lang w:eastAsia="it-IT"/>
        </w:rPr>
        <w:t>procedura ex-ante</w:t>
      </w:r>
      <w:r w:rsidRPr="00AD0541">
        <w:rPr>
          <w:rFonts w:ascii="Times New Roman" w:eastAsia="Times" w:hAnsi="Times New Roman" w:cs="Times New Roman"/>
          <w:lang w:eastAsia="it-IT"/>
        </w:rPr>
        <w:t>) e 6.6 (</w:t>
      </w:r>
      <w:r w:rsidRPr="00AD0541">
        <w:rPr>
          <w:rFonts w:ascii="Times New Roman" w:eastAsia="Times" w:hAnsi="Times New Roman" w:cs="Times New Roman"/>
          <w:i/>
          <w:lang w:eastAsia="it-IT"/>
        </w:rPr>
        <w:t>procedura ex-post</w:t>
      </w:r>
      <w:r w:rsidRPr="00AD0541">
        <w:rPr>
          <w:rFonts w:ascii="Times New Roman" w:eastAsia="Times" w:hAnsi="Times New Roman" w:cs="Times New Roman"/>
          <w:lang w:eastAsia="it-IT"/>
        </w:rPr>
        <w:t xml:space="preserve">) nonché altre essenziali informazioni per la loro corretta compilazione. L’esatta osservanza delle istruzioni relative a ciascun modulo consentirà di accelerare i tempi di gestione della Vs. pratica e l’emissione dei conseguenti documenti contabili anche ai fini dell’erogazione dei rimborsi e/o della verifica di congruità della percentuale di esenzione da Voi determinata. Nel contempo consentirà di evitare la reiterazione di richieste di chiarimenti alla Vs. azienda da parte dei nostri incaricati, con reciproco risparmio di tempi e risorse, a vantaggio dunque del sistema consortile e della Vs. azienda. </w:t>
      </w:r>
    </w:p>
    <w:p w:rsidR="002C71B5" w:rsidRPr="00AD0541" w:rsidRDefault="002C71B5" w:rsidP="002C71B5">
      <w:pPr>
        <w:spacing w:after="0" w:line="240" w:lineRule="auto"/>
        <w:ind w:right="98"/>
        <w:jc w:val="both"/>
        <w:rPr>
          <w:rFonts w:ascii="Times New Roman" w:eastAsia="Times" w:hAnsi="Times New Roman" w:cs="Times New Roman"/>
          <w:lang w:eastAsia="it-IT"/>
        </w:rPr>
      </w:pPr>
    </w:p>
    <w:p w:rsidR="002C71B5" w:rsidRPr="00AD0541" w:rsidRDefault="002C71B5" w:rsidP="002C71B5">
      <w:pPr>
        <w:spacing w:after="0" w:line="240" w:lineRule="auto"/>
        <w:ind w:right="98"/>
        <w:jc w:val="both"/>
        <w:rPr>
          <w:rFonts w:ascii="Times New Roman" w:eastAsia="Times" w:hAnsi="Times New Roman" w:cs="Times New Roman"/>
          <w:lang w:eastAsia="it-IT"/>
        </w:rPr>
      </w:pPr>
      <w:r w:rsidRPr="00AD0541">
        <w:rPr>
          <w:rFonts w:ascii="Times New Roman" w:eastAsia="Times" w:hAnsi="Times New Roman" w:cs="Times New Roman"/>
          <w:lang w:eastAsia="it-IT"/>
        </w:rPr>
        <w:t xml:space="preserve">Tra gli elementi essenziali da tenere presenti nella compilazione dei </w:t>
      </w:r>
      <w:proofErr w:type="spellStart"/>
      <w:r w:rsidRPr="00AD0541">
        <w:rPr>
          <w:rFonts w:ascii="Times New Roman" w:eastAsia="Times" w:hAnsi="Times New Roman" w:cs="Times New Roman"/>
          <w:lang w:eastAsia="it-IT"/>
        </w:rPr>
        <w:t>Mod</w:t>
      </w:r>
      <w:proofErr w:type="spellEnd"/>
      <w:r w:rsidRPr="00AD0541">
        <w:rPr>
          <w:rFonts w:ascii="Times New Roman" w:eastAsia="Times" w:hAnsi="Times New Roman" w:cs="Times New Roman"/>
          <w:lang w:eastAsia="it-IT"/>
        </w:rPr>
        <w:t>. 6.5 e 6.6, Vi ricordiamo i seguenti, rinviando comunque alle più complete istruzioni allegate ai Moduli e visualizzabili durante la loro compilazione:</w:t>
      </w:r>
    </w:p>
    <w:p w:rsidR="002C71B5" w:rsidRPr="00AD0541" w:rsidRDefault="002C71B5" w:rsidP="002C71B5">
      <w:pPr>
        <w:numPr>
          <w:ilvl w:val="0"/>
          <w:numId w:val="1"/>
        </w:numPr>
        <w:spacing w:after="0" w:line="240" w:lineRule="auto"/>
        <w:ind w:right="98"/>
        <w:contextualSpacing/>
        <w:jc w:val="both"/>
        <w:rPr>
          <w:rFonts w:ascii="Times New Roman" w:eastAsia="Times" w:hAnsi="Times New Roman" w:cs="Times New Roman"/>
          <w:color w:val="0000FF"/>
          <w:u w:val="single"/>
          <w:lang w:eastAsia="it-IT"/>
        </w:rPr>
      </w:pPr>
      <w:r w:rsidRPr="00AD0541">
        <w:rPr>
          <w:rFonts w:ascii="Times New Roman" w:eastAsia="Times" w:hAnsi="Times New Roman" w:cs="Times New Roman"/>
          <w:b/>
          <w:lang w:eastAsia="it-IT"/>
        </w:rPr>
        <w:t>il termine di presentazione scade il 29 febbraio 2020 (</w:t>
      </w:r>
      <w:r w:rsidRPr="00AD0541">
        <w:rPr>
          <w:rFonts w:ascii="Times New Roman" w:eastAsia="Times" w:hAnsi="Times New Roman" w:cs="Times New Roman"/>
          <w:b/>
          <w:u w:val="single"/>
          <w:lang w:eastAsia="it-IT"/>
        </w:rPr>
        <w:t>che è da considerarsi come giorno non festivo e dunque perentorio</w:t>
      </w:r>
      <w:r w:rsidRPr="00AD0541">
        <w:rPr>
          <w:rFonts w:ascii="Times New Roman" w:eastAsia="Times" w:hAnsi="Times New Roman" w:cs="Times New Roman"/>
          <w:b/>
          <w:lang w:eastAsia="it-IT"/>
        </w:rPr>
        <w:t>)</w:t>
      </w:r>
      <w:r w:rsidRPr="00AD0541">
        <w:rPr>
          <w:rFonts w:ascii="Times New Roman" w:eastAsia="Times" w:hAnsi="Times New Roman" w:cs="Times New Roman"/>
          <w:lang w:eastAsia="it-IT"/>
        </w:rPr>
        <w:t>;</w:t>
      </w:r>
    </w:p>
    <w:p w:rsidR="002C71B5" w:rsidRPr="00AD0541" w:rsidRDefault="002C71B5" w:rsidP="002C71B5">
      <w:pPr>
        <w:numPr>
          <w:ilvl w:val="0"/>
          <w:numId w:val="1"/>
        </w:numPr>
        <w:spacing w:after="0" w:line="240" w:lineRule="auto"/>
        <w:ind w:right="98"/>
        <w:contextualSpacing/>
        <w:jc w:val="both"/>
        <w:rPr>
          <w:rFonts w:ascii="Times New Roman" w:eastAsia="Times" w:hAnsi="Times New Roman" w:cs="Times New Roman"/>
          <w:color w:val="0000FF"/>
          <w:u w:val="single"/>
          <w:lang w:eastAsia="it-IT"/>
        </w:rPr>
      </w:pPr>
      <w:r w:rsidRPr="00AD0541">
        <w:rPr>
          <w:rFonts w:ascii="Times New Roman" w:eastAsia="Times" w:hAnsi="Times New Roman" w:cs="Times New Roman"/>
          <w:lang w:eastAsia="it-IT"/>
        </w:rPr>
        <w:t xml:space="preserve">in caso di ritardo nell’invio dei Moduli, contenuto entro i 30 giorni da tale termine (quindi, </w:t>
      </w:r>
      <w:r w:rsidRPr="00AD0541">
        <w:rPr>
          <w:rFonts w:ascii="Times New Roman" w:eastAsia="Times" w:hAnsi="Times New Roman" w:cs="Times New Roman"/>
          <w:b/>
          <w:lang w:eastAsia="it-IT"/>
        </w:rPr>
        <w:t>entro il 30 marzo 2020, anch’esso da considerarsi come termine perentorio</w:t>
      </w:r>
      <w:r w:rsidRPr="00AD0541">
        <w:rPr>
          <w:rFonts w:ascii="Times New Roman" w:eastAsia="Times" w:hAnsi="Times New Roman" w:cs="Times New Roman"/>
          <w:lang w:eastAsia="it-IT"/>
        </w:rPr>
        <w:t>), verrà comunque riconosciuto dal Conai un rimborso pari al 75% dell’importo spettante;</w:t>
      </w:r>
    </w:p>
    <w:p w:rsidR="002C71B5" w:rsidRPr="00AD0541" w:rsidRDefault="002C71B5" w:rsidP="002C71B5">
      <w:pPr>
        <w:numPr>
          <w:ilvl w:val="0"/>
          <w:numId w:val="1"/>
        </w:numPr>
        <w:spacing w:after="0" w:line="240" w:lineRule="auto"/>
        <w:ind w:right="98"/>
        <w:contextualSpacing/>
        <w:jc w:val="both"/>
        <w:rPr>
          <w:rFonts w:ascii="Times New Roman" w:eastAsia="Times" w:hAnsi="Times New Roman" w:cs="Times New Roman"/>
          <w:color w:val="0000FF"/>
          <w:u w:val="single"/>
          <w:lang w:eastAsia="it-IT"/>
        </w:rPr>
      </w:pPr>
      <w:r w:rsidRPr="00AD0541">
        <w:rPr>
          <w:rFonts w:ascii="Times New Roman" w:eastAsia="Times" w:hAnsi="Times New Roman" w:cs="Times New Roman"/>
          <w:lang w:eastAsia="it-IT"/>
        </w:rPr>
        <w:t>l’invio</w:t>
      </w:r>
      <w:r w:rsidRPr="00AD0541">
        <w:rPr>
          <w:rFonts w:ascii="Times New Roman" w:eastAsia="Times" w:hAnsi="Times New Roman" w:cs="Times New Roman"/>
          <w:b/>
          <w:lang w:eastAsia="it-IT"/>
        </w:rPr>
        <w:t xml:space="preserve"> </w:t>
      </w:r>
      <w:r w:rsidRPr="00AD0541">
        <w:rPr>
          <w:rFonts w:ascii="Times New Roman" w:eastAsia="Times" w:hAnsi="Times New Roman" w:cs="Times New Roman"/>
          <w:lang w:eastAsia="it-IT"/>
        </w:rPr>
        <w:t>dovrà essere effettuato esclusivamente on line attraverso il sito web dedicato (</w:t>
      </w:r>
      <w:hyperlink r:id="rId9" w:history="1">
        <w:r w:rsidRPr="00AD0541">
          <w:rPr>
            <w:rFonts w:ascii="Times New Roman" w:eastAsia="Times" w:hAnsi="Times New Roman" w:cs="Times New Roman"/>
            <w:color w:val="0000FF"/>
            <w:u w:val="single"/>
            <w:lang w:eastAsia="it-IT"/>
          </w:rPr>
          <w:t>https://dichiarazioni.conai.org</w:t>
        </w:r>
      </w:hyperlink>
      <w:r w:rsidRPr="00AD0541">
        <w:rPr>
          <w:rFonts w:ascii="Times New Roman" w:eastAsia="Times" w:hAnsi="Times New Roman" w:cs="Times New Roman"/>
          <w:color w:val="000000" w:themeColor="text1"/>
          <w:lang w:eastAsia="it-IT"/>
        </w:rPr>
        <w:t>);</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 xml:space="preserve">nel 2019 le fasce contributive degli imballaggi in plastica sono passate da 3 (del 2018) a 4 (A, B1, B2 e C); per il materiale carta si è proceduto a differenziare il contributo ambientale relativo ai “poliaccoppiati idonei al contenimento di liquidi” da quello relativo agli “Altri imballaggi in carta”; </w:t>
      </w:r>
      <w:r w:rsidRPr="00AD0541">
        <w:rPr>
          <w:rFonts w:ascii="Times New Roman" w:eastAsia="Times" w:hAnsi="Times New Roman" w:cs="Times New Roman"/>
          <w:u w:val="single"/>
          <w:lang w:eastAsia="it-IT"/>
        </w:rPr>
        <w:t>in fase di quantificazione degli imballaggi esportati è necessario distinguerli per corretta fascia in base alla tipologia di imballaggio verificando la coerenza di tale dato con le fatture di acquisto dei Vs. fornitori o con le Vs Dichiarazioni nel caso di eventuali Vs. acquisti presso fornitori esteri</w:t>
      </w:r>
      <w:r w:rsidRPr="00AD0541">
        <w:rPr>
          <w:rFonts w:ascii="Times New Roman" w:eastAsia="Times" w:hAnsi="Times New Roman" w:cs="Times New Roman"/>
          <w:lang w:eastAsia="it-IT"/>
        </w:rPr>
        <w:t>;</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 xml:space="preserve">le fatture di acquisto di imballaggi vuoti dal 2019 dovranno sempre riportare l’applicazione esplicita del Contributo ambientale Conai o, comunque, l’apposizione della dicitura “corrispettivo comprensivo del Contributo ambientale Conai già assolto”. La storica dicitura "Contributo Ambientale CONAI assolto" si potrà riferire, dunque, esclusivamente agli imballaggi pieni e non agli imballaggi vuoti; </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l’elenco dei fornitori da allegare al Modulo 6.5 o 6.6 deve comprendere:</w:t>
      </w:r>
    </w:p>
    <w:p w:rsidR="002C71B5" w:rsidRPr="00AD0541" w:rsidRDefault="002C71B5" w:rsidP="002C71B5">
      <w:pPr>
        <w:pStyle w:val="Paragrafoelenco"/>
        <w:spacing w:after="0" w:line="240" w:lineRule="auto"/>
        <w:ind w:left="993"/>
        <w:jc w:val="both"/>
        <w:rPr>
          <w:rFonts w:ascii="Times New Roman" w:eastAsia="Times" w:hAnsi="Times New Roman" w:cs="Times New Roman"/>
          <w:lang w:eastAsia="it-IT"/>
        </w:rPr>
      </w:pPr>
      <w:r w:rsidRPr="00AD0541">
        <w:rPr>
          <w:rFonts w:ascii="Times New Roman" w:eastAsia="Times" w:hAnsi="Times New Roman" w:cs="Times New Roman"/>
          <w:lang w:eastAsia="it-IT"/>
        </w:rPr>
        <w:t>ì) tutti i fornitori di imballaggi vuoti e non solo quelli degli imballaggi esportati;</w:t>
      </w:r>
    </w:p>
    <w:p w:rsidR="002C71B5" w:rsidRPr="00AD0541" w:rsidRDefault="002C71B5" w:rsidP="002C71B5">
      <w:pPr>
        <w:pStyle w:val="Paragrafoelenco"/>
        <w:spacing w:after="0" w:line="240" w:lineRule="auto"/>
        <w:ind w:left="993"/>
        <w:jc w:val="both"/>
        <w:rPr>
          <w:rFonts w:ascii="Times New Roman" w:eastAsia="Times" w:hAnsi="Times New Roman" w:cs="Times New Roman"/>
          <w:u w:val="single"/>
          <w:lang w:eastAsia="it-IT"/>
        </w:rPr>
      </w:pPr>
      <w:proofErr w:type="spellStart"/>
      <w:r w:rsidRPr="00AD0541">
        <w:rPr>
          <w:rFonts w:ascii="Times New Roman" w:eastAsia="Times" w:hAnsi="Times New Roman" w:cs="Times New Roman"/>
          <w:lang w:eastAsia="it-IT"/>
        </w:rPr>
        <w:t>ìì</w:t>
      </w:r>
      <w:proofErr w:type="spellEnd"/>
      <w:r w:rsidRPr="00AD0541">
        <w:rPr>
          <w:rFonts w:ascii="Times New Roman" w:eastAsia="Times" w:hAnsi="Times New Roman" w:cs="Times New Roman"/>
          <w:lang w:eastAsia="it-IT"/>
        </w:rPr>
        <w:t>) solo i fornitori di merci imballate oggetto di esportazione;</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tra gli imballaggi esportati possono essere inclusi solo quelli assoggettati a Contributo ambientale Conai dal fornitore e per i quali vi è la specifica indicazione nelle fatture del fornitore stesso; in caso di applicazione del Contributo ambientale con abbattimento del peso (ad. es. sui pallet in legno), va considerato, tra gli imballaggi esportati, il peso al netto dell'abbattimento stesso;</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non possono essere inseriti tra gli imballaggi esportati quelli ceduti a clienti nazionali con consegna all’estero per conto di questi (cosiddette “triangolazioni doganali”);</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per le cessioni di imballaggi vuoti/merci imballate effettuate nei confronti di clienti di San Marino, Vi invitiamo a verificare prima, con i clienti stessi o chiedendo al Conai (numero verde Conai 800337799) se ci siano i presupposti per l’esenzione del Contributo Ambientale Conai (Guida Conai 2020 - pagina 61); infatti per le aziende di San Marino iscritte volontariamente a Conai non opera l’esenzione prevista per le altre aziende estere;</w:t>
      </w:r>
    </w:p>
    <w:p w:rsidR="002C71B5" w:rsidRPr="00AD0541" w:rsidRDefault="002C71B5" w:rsidP="002C71B5">
      <w:pPr>
        <w:pStyle w:val="Paragrafoelenco"/>
        <w:numPr>
          <w:ilvl w:val="0"/>
          <w:numId w:val="2"/>
        </w:num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 xml:space="preserve">resta sempre salva per Conai la possibilità di eseguire ulteriori controlli anche dopo l’emissione dei titoli di credito/debito e/o l’erogazione dei rimborsi. </w:t>
      </w:r>
    </w:p>
    <w:p w:rsidR="002C71B5" w:rsidRPr="00AD0541" w:rsidRDefault="002C71B5" w:rsidP="002C71B5">
      <w:pPr>
        <w:spacing w:after="0" w:line="240" w:lineRule="auto"/>
        <w:jc w:val="both"/>
        <w:rPr>
          <w:rFonts w:ascii="Times New Roman" w:eastAsia="Times" w:hAnsi="Times New Roman" w:cs="Times New Roman"/>
          <w:lang w:eastAsia="it-IT"/>
        </w:rPr>
      </w:pPr>
    </w:p>
    <w:p w:rsidR="002C71B5" w:rsidRPr="00AD0541" w:rsidRDefault="002C71B5" w:rsidP="002C71B5">
      <w:pPr>
        <w:spacing w:after="0" w:line="240" w:lineRule="auto"/>
        <w:jc w:val="both"/>
        <w:rPr>
          <w:rFonts w:ascii="Times New Roman" w:eastAsia="Times" w:hAnsi="Times New Roman" w:cs="Times New Roman"/>
          <w:lang w:eastAsia="it-IT"/>
        </w:rPr>
      </w:pPr>
      <w:r w:rsidRPr="00AD0541">
        <w:rPr>
          <w:rFonts w:ascii="Times New Roman" w:eastAsia="Times" w:hAnsi="Times New Roman" w:cs="Times New Roman"/>
          <w:lang w:eastAsia="it-IT"/>
        </w:rPr>
        <w:t>In caso abbiate già provveduto all’invio della richiesta tenendo in considerazione le indicazioni fornite nella presente comunicazione Vi invitiamo a ritenere nulla la presente comunicazione. In caso contrario o di dubbi Vi invitiamo a contattare il Nostro numero verde 800337799.</w:t>
      </w:r>
    </w:p>
    <w:p w:rsidR="00585B76" w:rsidRPr="00AD0541" w:rsidRDefault="00585B76" w:rsidP="004E41EE">
      <w:pPr>
        <w:pStyle w:val="Nessunaspaziatura"/>
        <w:jc w:val="both"/>
        <w:rPr>
          <w:rFonts w:ascii="Times New Roman" w:hAnsi="Times New Roman" w:cs="Times New Roman"/>
        </w:rPr>
      </w:pPr>
    </w:p>
    <w:p w:rsidR="001F7148" w:rsidRPr="001F7148" w:rsidRDefault="001F7148" w:rsidP="001F7148">
      <w:pPr>
        <w:pStyle w:val="Nessunaspaziatura"/>
        <w:jc w:val="both"/>
        <w:rPr>
          <w:rFonts w:ascii="Times New Roman" w:hAnsi="Times New Roman" w:cs="Times New Roman"/>
          <w:sz w:val="24"/>
          <w:szCs w:val="24"/>
        </w:rPr>
      </w:pPr>
      <w:bookmarkStart w:id="0" w:name="_GoBack"/>
      <w:bookmarkEnd w:id="0"/>
    </w:p>
    <w:p w:rsidR="002708F4" w:rsidRPr="00585B76" w:rsidRDefault="00117F81" w:rsidP="00585B76">
      <w:pPr>
        <w:rPr>
          <w:rFonts w:ascii="Times New Roman" w:hAnsi="Times New Roman" w:cs="Times New Roman"/>
          <w:sz w:val="24"/>
          <w:szCs w:val="24"/>
        </w:rPr>
      </w:pPr>
      <w:r w:rsidRPr="00585B76">
        <w:rPr>
          <w:rFonts w:ascii="Times New Roman" w:hAnsi="Times New Roman" w:cs="Times New Roman"/>
          <w:sz w:val="24"/>
          <w:szCs w:val="24"/>
        </w:rPr>
        <w:t>Cordiali saluti</w:t>
      </w:r>
    </w:p>
    <w:sectPr w:rsidR="002708F4" w:rsidRPr="00585B76" w:rsidSect="00B96774">
      <w:pgSz w:w="11906" w:h="16838"/>
      <w:pgMar w:top="142" w:right="1080" w:bottom="1440" w:left="108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43" w:rsidRDefault="005D0543" w:rsidP="003D5442">
      <w:pPr>
        <w:spacing w:after="0" w:line="240" w:lineRule="auto"/>
      </w:pPr>
      <w:r>
        <w:separator/>
      </w:r>
    </w:p>
  </w:endnote>
  <w:endnote w:type="continuationSeparator" w:id="0">
    <w:p w:rsidR="005D0543" w:rsidRDefault="005D0543" w:rsidP="003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43" w:rsidRDefault="005D0543" w:rsidP="003D5442">
      <w:pPr>
        <w:spacing w:after="0" w:line="240" w:lineRule="auto"/>
      </w:pPr>
      <w:r>
        <w:separator/>
      </w:r>
    </w:p>
  </w:footnote>
  <w:footnote w:type="continuationSeparator" w:id="0">
    <w:p w:rsidR="005D0543" w:rsidRDefault="005D0543" w:rsidP="003D5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562"/>
    <w:multiLevelType w:val="hybridMultilevel"/>
    <w:tmpl w:val="EAD0BEEE"/>
    <w:lvl w:ilvl="0" w:tplc="4E686122">
      <w:start w:val="1"/>
      <w:numFmt w:val="bullet"/>
      <w:lvlText w:val=""/>
      <w:lvlJc w:val="left"/>
      <w:pPr>
        <w:ind w:left="720" w:hanging="360"/>
      </w:pPr>
      <w:rPr>
        <w:rFonts w:ascii="Wingdings" w:hAnsi="Wingding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9F76CDB"/>
    <w:multiLevelType w:val="hybridMultilevel"/>
    <w:tmpl w:val="B6F69D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7"/>
    <w:rsid w:val="00011716"/>
    <w:rsid w:val="00020DAA"/>
    <w:rsid w:val="000230CE"/>
    <w:rsid w:val="000366B1"/>
    <w:rsid w:val="000D2A5E"/>
    <w:rsid w:val="00117F81"/>
    <w:rsid w:val="001D533D"/>
    <w:rsid w:val="001E6978"/>
    <w:rsid w:val="001F7148"/>
    <w:rsid w:val="0021470C"/>
    <w:rsid w:val="00231FCA"/>
    <w:rsid w:val="00237D95"/>
    <w:rsid w:val="002708F4"/>
    <w:rsid w:val="00285336"/>
    <w:rsid w:val="002954EC"/>
    <w:rsid w:val="002B750A"/>
    <w:rsid w:val="002C71B5"/>
    <w:rsid w:val="002E17DF"/>
    <w:rsid w:val="00320670"/>
    <w:rsid w:val="00335166"/>
    <w:rsid w:val="003439F9"/>
    <w:rsid w:val="00371B60"/>
    <w:rsid w:val="003B4ABA"/>
    <w:rsid w:val="003D5442"/>
    <w:rsid w:val="003F7AB0"/>
    <w:rsid w:val="0041329F"/>
    <w:rsid w:val="0041720C"/>
    <w:rsid w:val="00427C7A"/>
    <w:rsid w:val="00435EFF"/>
    <w:rsid w:val="004510C5"/>
    <w:rsid w:val="00456216"/>
    <w:rsid w:val="00497DFD"/>
    <w:rsid w:val="004D5839"/>
    <w:rsid w:val="004E41EE"/>
    <w:rsid w:val="004F0072"/>
    <w:rsid w:val="00585B76"/>
    <w:rsid w:val="005D0543"/>
    <w:rsid w:val="005D23B2"/>
    <w:rsid w:val="005F11A9"/>
    <w:rsid w:val="00610613"/>
    <w:rsid w:val="00667CD4"/>
    <w:rsid w:val="00673B8B"/>
    <w:rsid w:val="006C5C3E"/>
    <w:rsid w:val="006D1261"/>
    <w:rsid w:val="006D20DB"/>
    <w:rsid w:val="006F73F3"/>
    <w:rsid w:val="00704700"/>
    <w:rsid w:val="0073608D"/>
    <w:rsid w:val="00767FD3"/>
    <w:rsid w:val="007808EE"/>
    <w:rsid w:val="00793BC3"/>
    <w:rsid w:val="007B5D97"/>
    <w:rsid w:val="00806388"/>
    <w:rsid w:val="008139B8"/>
    <w:rsid w:val="008263B4"/>
    <w:rsid w:val="008A060B"/>
    <w:rsid w:val="009064F4"/>
    <w:rsid w:val="00976A5C"/>
    <w:rsid w:val="009B203F"/>
    <w:rsid w:val="00A43C1E"/>
    <w:rsid w:val="00AB1A3D"/>
    <w:rsid w:val="00AD0541"/>
    <w:rsid w:val="00B47CCA"/>
    <w:rsid w:val="00B51E57"/>
    <w:rsid w:val="00B73722"/>
    <w:rsid w:val="00B7685D"/>
    <w:rsid w:val="00B86C78"/>
    <w:rsid w:val="00B911F4"/>
    <w:rsid w:val="00B96774"/>
    <w:rsid w:val="00BE7793"/>
    <w:rsid w:val="00BF35FD"/>
    <w:rsid w:val="00BF511D"/>
    <w:rsid w:val="00C13967"/>
    <w:rsid w:val="00C5649E"/>
    <w:rsid w:val="00C60E14"/>
    <w:rsid w:val="00C834A7"/>
    <w:rsid w:val="00C91038"/>
    <w:rsid w:val="00CB259E"/>
    <w:rsid w:val="00CD5DC1"/>
    <w:rsid w:val="00CF45B5"/>
    <w:rsid w:val="00D079CF"/>
    <w:rsid w:val="00D1727D"/>
    <w:rsid w:val="00D27B2C"/>
    <w:rsid w:val="00D50511"/>
    <w:rsid w:val="00D750AD"/>
    <w:rsid w:val="00DB404A"/>
    <w:rsid w:val="00DE1287"/>
    <w:rsid w:val="00DE5EC3"/>
    <w:rsid w:val="00E55229"/>
    <w:rsid w:val="00E65C70"/>
    <w:rsid w:val="00E67BFC"/>
    <w:rsid w:val="00E83A9A"/>
    <w:rsid w:val="00E83C76"/>
    <w:rsid w:val="00E8620A"/>
    <w:rsid w:val="00E93372"/>
    <w:rsid w:val="00EA74D9"/>
    <w:rsid w:val="00EE7B7C"/>
    <w:rsid w:val="00EF2677"/>
    <w:rsid w:val="00F16BAC"/>
    <w:rsid w:val="00F4699A"/>
    <w:rsid w:val="00F47C48"/>
    <w:rsid w:val="00F829F5"/>
    <w:rsid w:val="00F85355"/>
    <w:rsid w:val="00FA6284"/>
    <w:rsid w:val="00FA6A0B"/>
    <w:rsid w:val="00FA7844"/>
    <w:rsid w:val="00FD6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Testonotaapidipagina">
    <w:name w:val="footnote text"/>
    <w:basedOn w:val="Normale"/>
    <w:link w:val="TestonotaapidipaginaCarattere"/>
    <w:uiPriority w:val="99"/>
    <w:semiHidden/>
    <w:unhideWhenUsed/>
    <w:rsid w:val="00C139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3967"/>
    <w:rPr>
      <w:sz w:val="20"/>
      <w:szCs w:val="20"/>
    </w:rPr>
  </w:style>
  <w:style w:type="character" w:styleId="Rimandonotaapidipagina">
    <w:name w:val="footnote reference"/>
    <w:basedOn w:val="Carpredefinitoparagrafo"/>
    <w:uiPriority w:val="99"/>
    <w:semiHidden/>
    <w:unhideWhenUsed/>
    <w:rsid w:val="00C13967"/>
    <w:rPr>
      <w:vertAlign w:val="superscript"/>
    </w:rPr>
  </w:style>
  <w:style w:type="paragraph" w:styleId="Testofumetto">
    <w:name w:val="Balloon Text"/>
    <w:basedOn w:val="Normale"/>
    <w:link w:val="TestofumettoCarattere"/>
    <w:uiPriority w:val="99"/>
    <w:semiHidden/>
    <w:unhideWhenUsed/>
    <w:rsid w:val="00343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9F9"/>
    <w:rPr>
      <w:rFonts w:ascii="Tahoma" w:hAnsi="Tahoma" w:cs="Tahoma"/>
      <w:sz w:val="16"/>
      <w:szCs w:val="16"/>
    </w:rPr>
  </w:style>
  <w:style w:type="paragraph" w:styleId="Nessunaspaziatura">
    <w:name w:val="No Spacing"/>
    <w:uiPriority w:val="1"/>
    <w:qFormat/>
    <w:rsid w:val="001F7148"/>
    <w:pPr>
      <w:spacing w:after="0" w:line="240" w:lineRule="auto"/>
    </w:pPr>
  </w:style>
  <w:style w:type="paragraph" w:styleId="Paragrafoelenco">
    <w:name w:val="List Paragraph"/>
    <w:basedOn w:val="Normale"/>
    <w:uiPriority w:val="34"/>
    <w:qFormat/>
    <w:rsid w:val="002C7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Testonotaapidipagina">
    <w:name w:val="footnote text"/>
    <w:basedOn w:val="Normale"/>
    <w:link w:val="TestonotaapidipaginaCarattere"/>
    <w:uiPriority w:val="99"/>
    <w:semiHidden/>
    <w:unhideWhenUsed/>
    <w:rsid w:val="00C139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3967"/>
    <w:rPr>
      <w:sz w:val="20"/>
      <w:szCs w:val="20"/>
    </w:rPr>
  </w:style>
  <w:style w:type="character" w:styleId="Rimandonotaapidipagina">
    <w:name w:val="footnote reference"/>
    <w:basedOn w:val="Carpredefinitoparagrafo"/>
    <w:uiPriority w:val="99"/>
    <w:semiHidden/>
    <w:unhideWhenUsed/>
    <w:rsid w:val="00C13967"/>
    <w:rPr>
      <w:vertAlign w:val="superscript"/>
    </w:rPr>
  </w:style>
  <w:style w:type="paragraph" w:styleId="Testofumetto">
    <w:name w:val="Balloon Text"/>
    <w:basedOn w:val="Normale"/>
    <w:link w:val="TestofumettoCarattere"/>
    <w:uiPriority w:val="99"/>
    <w:semiHidden/>
    <w:unhideWhenUsed/>
    <w:rsid w:val="00343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9F9"/>
    <w:rPr>
      <w:rFonts w:ascii="Tahoma" w:hAnsi="Tahoma" w:cs="Tahoma"/>
      <w:sz w:val="16"/>
      <w:szCs w:val="16"/>
    </w:rPr>
  </w:style>
  <w:style w:type="paragraph" w:styleId="Nessunaspaziatura">
    <w:name w:val="No Spacing"/>
    <w:uiPriority w:val="1"/>
    <w:qFormat/>
    <w:rsid w:val="001F7148"/>
    <w:pPr>
      <w:spacing w:after="0" w:line="240" w:lineRule="auto"/>
    </w:pPr>
  </w:style>
  <w:style w:type="paragraph" w:styleId="Paragrafoelenco">
    <w:name w:val="List Paragraph"/>
    <w:basedOn w:val="Normale"/>
    <w:uiPriority w:val="34"/>
    <w:qFormat/>
    <w:rsid w:val="002C7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hiarazioni.cona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C192-F878-40F4-A64D-A69D5DF2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Cribioli Roberta</dc:creator>
  <cp:lastModifiedBy>Piscopo Irene</cp:lastModifiedBy>
  <cp:revision>2</cp:revision>
  <cp:lastPrinted>2019-11-13T15:40:00Z</cp:lastPrinted>
  <dcterms:created xsi:type="dcterms:W3CDTF">2020-02-11T07:50:00Z</dcterms:created>
  <dcterms:modified xsi:type="dcterms:W3CDTF">2020-02-11T07:50:00Z</dcterms:modified>
</cp:coreProperties>
</file>