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B36" w:rsidRDefault="00A74B36" w:rsidP="00253755">
      <w:pPr>
        <w:widowControl w:val="0"/>
        <w:spacing w:before="5" w:after="0" w:line="240" w:lineRule="auto"/>
        <w:rPr>
          <w:rFonts w:eastAsia="Calibri" w:cs="Calibri"/>
          <w:b/>
          <w:bCs/>
          <w:color w:val="0D0D0D" w:themeColor="text1" w:themeTint="F2"/>
        </w:rPr>
      </w:pPr>
    </w:p>
    <w:p w:rsidR="00A74B36" w:rsidRDefault="00A74B36" w:rsidP="00253755">
      <w:pPr>
        <w:widowControl w:val="0"/>
        <w:spacing w:before="5" w:after="0" w:line="240" w:lineRule="auto"/>
        <w:rPr>
          <w:rFonts w:eastAsia="Calibri" w:cs="Calibri"/>
          <w:b/>
          <w:bCs/>
          <w:color w:val="0D0D0D" w:themeColor="text1" w:themeTint="F2"/>
        </w:rPr>
      </w:pPr>
    </w:p>
    <w:p w:rsidR="00A340DA" w:rsidRPr="00D06C38" w:rsidRDefault="00D06C38" w:rsidP="00D06C38">
      <w:pPr>
        <w:widowControl w:val="0"/>
        <w:pBdr>
          <w:top w:val="single" w:sz="4" w:space="1" w:color="auto"/>
          <w:left w:val="single" w:sz="4" w:space="4" w:color="auto"/>
          <w:bottom w:val="single" w:sz="4" w:space="1" w:color="auto"/>
          <w:right w:val="single" w:sz="4" w:space="4" w:color="auto"/>
        </w:pBdr>
        <w:spacing w:before="5" w:after="0" w:line="240" w:lineRule="auto"/>
        <w:jc w:val="center"/>
        <w:rPr>
          <w:rFonts w:eastAsia="Calibri" w:cs="Calibri"/>
          <w:b/>
          <w:bCs/>
          <w:color w:val="0D0D0D" w:themeColor="text1" w:themeTint="F2"/>
          <w:sz w:val="32"/>
          <w:szCs w:val="32"/>
        </w:rPr>
      </w:pPr>
      <w:r w:rsidRPr="00D06C38">
        <w:rPr>
          <w:rFonts w:eastAsia="Calibri" w:cs="Calibri"/>
          <w:b/>
          <w:bCs/>
          <w:color w:val="0D0D0D" w:themeColor="text1" w:themeTint="F2"/>
          <w:sz w:val="32"/>
          <w:szCs w:val="32"/>
        </w:rPr>
        <w:t>INTERNAZIONALIZZAZIONE</w:t>
      </w:r>
      <w:r>
        <w:rPr>
          <w:rFonts w:eastAsia="Calibri" w:cs="Calibri"/>
          <w:b/>
          <w:bCs/>
          <w:color w:val="0D0D0D" w:themeColor="text1" w:themeTint="F2"/>
          <w:sz w:val="32"/>
          <w:szCs w:val="32"/>
        </w:rPr>
        <w:t>:</w:t>
      </w:r>
    </w:p>
    <w:p w:rsidR="00D06C38" w:rsidRPr="00D06C38" w:rsidRDefault="00D06C38" w:rsidP="00D06C38">
      <w:pPr>
        <w:widowControl w:val="0"/>
        <w:pBdr>
          <w:top w:val="single" w:sz="4" w:space="1" w:color="auto"/>
          <w:left w:val="single" w:sz="4" w:space="4" w:color="auto"/>
          <w:bottom w:val="single" w:sz="4" w:space="1" w:color="auto"/>
          <w:right w:val="single" w:sz="4" w:space="4" w:color="auto"/>
        </w:pBdr>
        <w:spacing w:before="5" w:after="0" w:line="240" w:lineRule="auto"/>
        <w:jc w:val="center"/>
        <w:rPr>
          <w:rFonts w:eastAsia="Calibri" w:cs="Calibri"/>
          <w:b/>
          <w:bCs/>
          <w:color w:val="0D0D0D" w:themeColor="text1" w:themeTint="F2"/>
          <w:sz w:val="32"/>
          <w:szCs w:val="32"/>
        </w:rPr>
      </w:pPr>
      <w:r w:rsidRPr="00D06C38">
        <w:rPr>
          <w:rFonts w:eastAsia="Calibri" w:cs="Calibri"/>
          <w:b/>
          <w:bCs/>
          <w:color w:val="0D0D0D" w:themeColor="text1" w:themeTint="F2"/>
          <w:sz w:val="32"/>
          <w:szCs w:val="32"/>
        </w:rPr>
        <w:t>PARTECIPAZIONE A FIERE E MOSTRE</w:t>
      </w:r>
    </w:p>
    <w:p w:rsidR="0076695C" w:rsidRPr="00DD6469" w:rsidRDefault="0076695C" w:rsidP="00253755">
      <w:pPr>
        <w:widowControl w:val="0"/>
        <w:spacing w:before="85" w:after="0" w:line="240" w:lineRule="auto"/>
        <w:ind w:right="260"/>
        <w:rPr>
          <w:rFonts w:eastAsia="Calibri" w:cs="Calibri"/>
          <w:b/>
          <w:bCs/>
          <w:color w:val="0D0D0D" w:themeColor="text1" w:themeTint="F2"/>
        </w:rPr>
      </w:pPr>
    </w:p>
    <w:p w:rsidR="00DD6469" w:rsidRDefault="00DD6469" w:rsidP="008E1A54">
      <w:pPr>
        <w:autoSpaceDE w:val="0"/>
        <w:autoSpaceDN w:val="0"/>
        <w:adjustRightInd w:val="0"/>
        <w:spacing w:after="0" w:line="240" w:lineRule="auto"/>
        <w:rPr>
          <w:rFonts w:cs="AdvP868E"/>
          <w:color w:val="0D0D0D" w:themeColor="text1" w:themeTint="F2"/>
        </w:rPr>
      </w:pPr>
      <w:r>
        <w:rPr>
          <w:rFonts w:cs="AdvP868E"/>
          <w:color w:val="0D0D0D" w:themeColor="text1" w:themeTint="F2"/>
        </w:rPr>
        <w:t xml:space="preserve"> </w:t>
      </w:r>
    </w:p>
    <w:p w:rsidR="00DD6469" w:rsidRDefault="00DD6469" w:rsidP="008E1A54">
      <w:pPr>
        <w:autoSpaceDE w:val="0"/>
        <w:autoSpaceDN w:val="0"/>
        <w:adjustRightInd w:val="0"/>
        <w:spacing w:after="0" w:line="240" w:lineRule="auto"/>
        <w:rPr>
          <w:rFonts w:cs="AdvP868E"/>
          <w:color w:val="0D0D0D" w:themeColor="text1" w:themeTint="F2"/>
        </w:rPr>
      </w:pPr>
    </w:p>
    <w:p w:rsidR="00A74B36" w:rsidRDefault="00A74B36" w:rsidP="008E1A54">
      <w:pPr>
        <w:autoSpaceDE w:val="0"/>
        <w:autoSpaceDN w:val="0"/>
        <w:adjustRightInd w:val="0"/>
        <w:spacing w:after="0" w:line="240" w:lineRule="auto"/>
        <w:rPr>
          <w:rFonts w:cs="AdvP868E"/>
          <w:color w:val="0D0D0D" w:themeColor="text1" w:themeTint="F2"/>
        </w:rPr>
      </w:pPr>
    </w:p>
    <w:p w:rsidR="00257563" w:rsidRPr="00553AE1" w:rsidRDefault="00257563" w:rsidP="008E1A54">
      <w:pPr>
        <w:autoSpaceDE w:val="0"/>
        <w:autoSpaceDN w:val="0"/>
        <w:adjustRightInd w:val="0"/>
        <w:spacing w:after="0" w:line="240" w:lineRule="auto"/>
        <w:rPr>
          <w:rFonts w:cs="AdvP868E"/>
          <w:color w:val="0D0D0D" w:themeColor="text1" w:themeTint="F2"/>
          <w:sz w:val="24"/>
          <w:szCs w:val="24"/>
        </w:rPr>
      </w:pPr>
    </w:p>
    <w:tbl>
      <w:tblPr>
        <w:tblStyle w:val="Grigliatabella"/>
        <w:tblW w:w="0" w:type="auto"/>
        <w:tblLook w:val="04A0" w:firstRow="1" w:lastRow="0" w:firstColumn="1" w:lastColumn="0" w:noHBand="0" w:noVBand="1"/>
      </w:tblPr>
      <w:tblGrid>
        <w:gridCol w:w="3256"/>
        <w:gridCol w:w="6372"/>
      </w:tblGrid>
      <w:tr w:rsidR="00257563" w:rsidRPr="00553AE1" w:rsidTr="00257563">
        <w:tc>
          <w:tcPr>
            <w:tcW w:w="3256" w:type="dxa"/>
          </w:tcPr>
          <w:p w:rsidR="00257563" w:rsidRPr="00553AE1" w:rsidRDefault="00257563" w:rsidP="008E1A54">
            <w:pPr>
              <w:autoSpaceDE w:val="0"/>
              <w:autoSpaceDN w:val="0"/>
              <w:adjustRightInd w:val="0"/>
              <w:rPr>
                <w:rFonts w:cs="AdvP868E"/>
                <w:b/>
                <w:color w:val="0D0D0D" w:themeColor="text1" w:themeTint="F2"/>
                <w:sz w:val="24"/>
                <w:szCs w:val="24"/>
              </w:rPr>
            </w:pPr>
            <w:r w:rsidRPr="00553AE1">
              <w:rPr>
                <w:rFonts w:cs="AdvP868E"/>
                <w:b/>
                <w:color w:val="0D0D0D" w:themeColor="text1" w:themeTint="F2"/>
                <w:sz w:val="24"/>
                <w:szCs w:val="24"/>
              </w:rPr>
              <w:t xml:space="preserve">Beneficiari </w:t>
            </w:r>
          </w:p>
        </w:tc>
        <w:tc>
          <w:tcPr>
            <w:tcW w:w="6372" w:type="dxa"/>
          </w:tcPr>
          <w:p w:rsidR="00257563" w:rsidRPr="00553AE1" w:rsidRDefault="00257563" w:rsidP="008E1A54">
            <w:pPr>
              <w:autoSpaceDE w:val="0"/>
              <w:autoSpaceDN w:val="0"/>
              <w:adjustRightInd w:val="0"/>
              <w:rPr>
                <w:rFonts w:cs="AdvP868E"/>
                <w:color w:val="0D0D0D" w:themeColor="text1" w:themeTint="F2"/>
                <w:sz w:val="24"/>
                <w:szCs w:val="24"/>
              </w:rPr>
            </w:pPr>
            <w:proofErr w:type="spellStart"/>
            <w:r w:rsidRPr="00553AE1">
              <w:rPr>
                <w:rFonts w:cs="AdvP868E"/>
                <w:color w:val="0D0D0D" w:themeColor="text1" w:themeTint="F2"/>
                <w:sz w:val="24"/>
                <w:szCs w:val="24"/>
              </w:rPr>
              <w:t>Pmi</w:t>
            </w:r>
            <w:proofErr w:type="spellEnd"/>
            <w:r w:rsidRPr="00553AE1">
              <w:rPr>
                <w:rFonts w:cs="AdvP868E"/>
                <w:color w:val="0D0D0D" w:themeColor="text1" w:themeTint="F2"/>
                <w:sz w:val="24"/>
                <w:szCs w:val="24"/>
              </w:rPr>
              <w:t xml:space="preserve"> </w:t>
            </w:r>
          </w:p>
        </w:tc>
      </w:tr>
      <w:tr w:rsidR="00257563" w:rsidRPr="00553AE1" w:rsidTr="00257563">
        <w:tc>
          <w:tcPr>
            <w:tcW w:w="3256" w:type="dxa"/>
          </w:tcPr>
          <w:p w:rsidR="00257563" w:rsidRPr="00553AE1" w:rsidRDefault="00257563" w:rsidP="008E1A54">
            <w:pPr>
              <w:autoSpaceDE w:val="0"/>
              <w:autoSpaceDN w:val="0"/>
              <w:adjustRightInd w:val="0"/>
              <w:rPr>
                <w:rFonts w:cs="AdvP868E"/>
                <w:b/>
                <w:color w:val="0D0D0D" w:themeColor="text1" w:themeTint="F2"/>
                <w:sz w:val="24"/>
                <w:szCs w:val="24"/>
              </w:rPr>
            </w:pPr>
            <w:r w:rsidRPr="00553AE1">
              <w:rPr>
                <w:rFonts w:cs="AdvP868E"/>
                <w:b/>
                <w:color w:val="0D0D0D" w:themeColor="text1" w:themeTint="F2"/>
                <w:sz w:val="24"/>
                <w:szCs w:val="24"/>
              </w:rPr>
              <w:t xml:space="preserve">Oggetto  </w:t>
            </w:r>
          </w:p>
        </w:tc>
        <w:tc>
          <w:tcPr>
            <w:tcW w:w="6372" w:type="dxa"/>
          </w:tcPr>
          <w:p w:rsidR="00257563" w:rsidRPr="00553AE1" w:rsidRDefault="00257563" w:rsidP="008E1A54">
            <w:pPr>
              <w:autoSpaceDE w:val="0"/>
              <w:autoSpaceDN w:val="0"/>
              <w:adjustRightInd w:val="0"/>
              <w:rPr>
                <w:rFonts w:cs="AdvP868E"/>
                <w:color w:val="0D0D0D" w:themeColor="text1" w:themeTint="F2"/>
                <w:sz w:val="24"/>
                <w:szCs w:val="24"/>
              </w:rPr>
            </w:pPr>
            <w:r w:rsidRPr="00553AE1">
              <w:rPr>
                <w:sz w:val="24"/>
                <w:szCs w:val="24"/>
              </w:rPr>
              <w:t>per sostenere la partecipazione di PMI italiane a fiere, mostre e missioni di sistema per promuovere la propria attività nei mercati extra UE.</w:t>
            </w:r>
          </w:p>
        </w:tc>
      </w:tr>
      <w:tr w:rsidR="00257563" w:rsidRPr="00553AE1" w:rsidTr="00257563">
        <w:tc>
          <w:tcPr>
            <w:tcW w:w="3256" w:type="dxa"/>
          </w:tcPr>
          <w:p w:rsidR="00257563" w:rsidRPr="00553AE1" w:rsidRDefault="00257563" w:rsidP="008E1A54">
            <w:pPr>
              <w:autoSpaceDE w:val="0"/>
              <w:autoSpaceDN w:val="0"/>
              <w:adjustRightInd w:val="0"/>
              <w:rPr>
                <w:rFonts w:cs="AdvP868E"/>
                <w:b/>
                <w:color w:val="0D0D0D" w:themeColor="text1" w:themeTint="F2"/>
                <w:sz w:val="24"/>
                <w:szCs w:val="24"/>
              </w:rPr>
            </w:pPr>
            <w:r w:rsidRPr="00553AE1">
              <w:rPr>
                <w:rFonts w:cs="AdvP868E"/>
                <w:b/>
                <w:color w:val="0D0D0D" w:themeColor="text1" w:themeTint="F2"/>
                <w:sz w:val="24"/>
                <w:szCs w:val="24"/>
              </w:rPr>
              <w:t xml:space="preserve">Spese ammissibili </w:t>
            </w:r>
          </w:p>
        </w:tc>
        <w:tc>
          <w:tcPr>
            <w:tcW w:w="6372" w:type="dxa"/>
          </w:tcPr>
          <w:p w:rsidR="00257563" w:rsidRPr="00553AE1" w:rsidRDefault="00257563" w:rsidP="008E1A54">
            <w:pPr>
              <w:autoSpaceDE w:val="0"/>
              <w:autoSpaceDN w:val="0"/>
              <w:adjustRightInd w:val="0"/>
              <w:rPr>
                <w:rFonts w:cs="AdvP868E"/>
                <w:color w:val="0D0D0D" w:themeColor="text1" w:themeTint="F2"/>
                <w:sz w:val="24"/>
                <w:szCs w:val="24"/>
              </w:rPr>
            </w:pPr>
            <w:r w:rsidRPr="00553AE1">
              <w:rPr>
                <w:bCs/>
                <w:sz w:val="24"/>
                <w:szCs w:val="24"/>
              </w:rPr>
              <w:t>spese connesse alla partecipazione a fiere/mostre in Paesi extra UE, incluse le missioni di sistema</w:t>
            </w:r>
            <w:r w:rsidRPr="00553AE1">
              <w:rPr>
                <w:b/>
                <w:bCs/>
                <w:sz w:val="24"/>
                <w:szCs w:val="24"/>
              </w:rPr>
              <w:t xml:space="preserve"> </w:t>
            </w:r>
            <w:r w:rsidRPr="00553AE1">
              <w:rPr>
                <w:sz w:val="24"/>
                <w:szCs w:val="24"/>
              </w:rPr>
              <w:t>promosse da MISE e MAECI e organizzate da ICE – Agenzia, Confindustria e altre istituzioni o associazioni di categoria. Sono finanziabili i costi di iscrizione con relativi oneri e diritti fissi obbligatori, per area espositiva e relativo allestimento, logistica, attività promozionali e consulenze, sostenuti dalla data di presentazione della domanda fino ai 12 mesi successivi al perfezionamento del contratto.</w:t>
            </w:r>
          </w:p>
        </w:tc>
      </w:tr>
      <w:tr w:rsidR="00257563" w:rsidRPr="00553AE1" w:rsidTr="00257563">
        <w:tc>
          <w:tcPr>
            <w:tcW w:w="3256" w:type="dxa"/>
          </w:tcPr>
          <w:p w:rsidR="00257563" w:rsidRPr="00553AE1" w:rsidRDefault="00257563" w:rsidP="008E1A54">
            <w:pPr>
              <w:autoSpaceDE w:val="0"/>
              <w:autoSpaceDN w:val="0"/>
              <w:adjustRightInd w:val="0"/>
              <w:rPr>
                <w:rFonts w:cs="AdvP868E"/>
                <w:b/>
                <w:color w:val="0D0D0D" w:themeColor="text1" w:themeTint="F2"/>
                <w:sz w:val="24"/>
                <w:szCs w:val="24"/>
              </w:rPr>
            </w:pPr>
            <w:r w:rsidRPr="00553AE1">
              <w:rPr>
                <w:rFonts w:cs="AdvP868E"/>
                <w:b/>
                <w:color w:val="0D0D0D" w:themeColor="text1" w:themeTint="F2"/>
                <w:sz w:val="24"/>
                <w:szCs w:val="24"/>
              </w:rPr>
              <w:t xml:space="preserve">Durata </w:t>
            </w:r>
          </w:p>
        </w:tc>
        <w:tc>
          <w:tcPr>
            <w:tcW w:w="6372" w:type="dxa"/>
          </w:tcPr>
          <w:p w:rsidR="00257563" w:rsidRPr="00553AE1" w:rsidRDefault="00257563" w:rsidP="008E1A54">
            <w:pPr>
              <w:autoSpaceDE w:val="0"/>
              <w:autoSpaceDN w:val="0"/>
              <w:adjustRightInd w:val="0"/>
              <w:rPr>
                <w:rFonts w:cs="AdvP868E"/>
                <w:color w:val="0D0D0D" w:themeColor="text1" w:themeTint="F2"/>
                <w:sz w:val="24"/>
                <w:szCs w:val="24"/>
              </w:rPr>
            </w:pPr>
            <w:r w:rsidRPr="00553AE1">
              <w:rPr>
                <w:sz w:val="24"/>
                <w:szCs w:val="24"/>
              </w:rPr>
              <w:t>4 anni a partire dalla data di perfezionamento del contratto, di cui 1 anno di pre-ammortamento in cui vengono corrisposti i soli interessi e 3 anni di ammortamento</w:t>
            </w:r>
          </w:p>
        </w:tc>
      </w:tr>
      <w:tr w:rsidR="00257563" w:rsidRPr="00553AE1" w:rsidTr="00257563">
        <w:tc>
          <w:tcPr>
            <w:tcW w:w="3256" w:type="dxa"/>
          </w:tcPr>
          <w:p w:rsidR="00257563" w:rsidRPr="00553AE1" w:rsidRDefault="00257563" w:rsidP="008E1A54">
            <w:pPr>
              <w:autoSpaceDE w:val="0"/>
              <w:autoSpaceDN w:val="0"/>
              <w:adjustRightInd w:val="0"/>
              <w:rPr>
                <w:rFonts w:cs="AdvP868E"/>
                <w:b/>
                <w:color w:val="0D0D0D" w:themeColor="text1" w:themeTint="F2"/>
                <w:sz w:val="24"/>
                <w:szCs w:val="24"/>
              </w:rPr>
            </w:pPr>
            <w:r w:rsidRPr="00553AE1">
              <w:rPr>
                <w:rFonts w:cs="AdvP868E"/>
                <w:b/>
                <w:color w:val="0D0D0D" w:themeColor="text1" w:themeTint="F2"/>
                <w:sz w:val="24"/>
                <w:szCs w:val="24"/>
              </w:rPr>
              <w:t>Finanziamento massimo</w:t>
            </w:r>
          </w:p>
        </w:tc>
        <w:tc>
          <w:tcPr>
            <w:tcW w:w="6372" w:type="dxa"/>
          </w:tcPr>
          <w:p w:rsidR="00257563" w:rsidRPr="00553AE1" w:rsidRDefault="00257563" w:rsidP="008E1A54">
            <w:pPr>
              <w:autoSpaceDE w:val="0"/>
              <w:autoSpaceDN w:val="0"/>
              <w:adjustRightInd w:val="0"/>
              <w:rPr>
                <w:rFonts w:cs="AdvP868E"/>
                <w:color w:val="0D0D0D" w:themeColor="text1" w:themeTint="F2"/>
                <w:sz w:val="24"/>
                <w:szCs w:val="24"/>
              </w:rPr>
            </w:pPr>
            <w:r w:rsidRPr="00553AE1">
              <w:rPr>
                <w:rFonts w:cs="AdvP868E"/>
                <w:color w:val="0D0D0D" w:themeColor="text1" w:themeTint="F2"/>
                <w:sz w:val="24"/>
                <w:szCs w:val="24"/>
              </w:rPr>
              <w:t xml:space="preserve">100.000 euro fino ad un </w:t>
            </w:r>
            <w:proofErr w:type="spellStart"/>
            <w:r w:rsidRPr="00553AE1">
              <w:rPr>
                <w:rFonts w:cs="AdvP868E"/>
                <w:color w:val="0D0D0D" w:themeColor="text1" w:themeTint="F2"/>
                <w:sz w:val="24"/>
                <w:szCs w:val="24"/>
              </w:rPr>
              <w:t>max</w:t>
            </w:r>
            <w:proofErr w:type="spellEnd"/>
            <w:r w:rsidRPr="00553AE1">
              <w:rPr>
                <w:rFonts w:cs="AdvP868E"/>
                <w:color w:val="0D0D0D" w:themeColor="text1" w:themeTint="F2"/>
                <w:sz w:val="24"/>
                <w:szCs w:val="24"/>
              </w:rPr>
              <w:t xml:space="preserve"> del 10% dei ricavi.</w:t>
            </w:r>
          </w:p>
        </w:tc>
      </w:tr>
      <w:tr w:rsidR="00257563" w:rsidRPr="00553AE1" w:rsidTr="00257563">
        <w:tc>
          <w:tcPr>
            <w:tcW w:w="3256" w:type="dxa"/>
          </w:tcPr>
          <w:p w:rsidR="00257563" w:rsidRPr="00553AE1" w:rsidRDefault="00257563" w:rsidP="008E1A54">
            <w:pPr>
              <w:autoSpaceDE w:val="0"/>
              <w:autoSpaceDN w:val="0"/>
              <w:adjustRightInd w:val="0"/>
              <w:rPr>
                <w:rFonts w:cs="AdvP868E"/>
                <w:b/>
                <w:color w:val="0D0D0D" w:themeColor="text1" w:themeTint="F2"/>
                <w:sz w:val="24"/>
                <w:szCs w:val="24"/>
              </w:rPr>
            </w:pPr>
            <w:r w:rsidRPr="00553AE1">
              <w:rPr>
                <w:rFonts w:cs="AdvP868E"/>
                <w:b/>
                <w:color w:val="0D0D0D" w:themeColor="text1" w:themeTint="F2"/>
                <w:sz w:val="24"/>
                <w:szCs w:val="24"/>
              </w:rPr>
              <w:t xml:space="preserve">Garanzia </w:t>
            </w:r>
          </w:p>
        </w:tc>
        <w:tc>
          <w:tcPr>
            <w:tcW w:w="6372" w:type="dxa"/>
          </w:tcPr>
          <w:p w:rsidR="00257563" w:rsidRPr="00553AE1" w:rsidRDefault="00257563" w:rsidP="008E1A54">
            <w:pPr>
              <w:autoSpaceDE w:val="0"/>
              <w:autoSpaceDN w:val="0"/>
              <w:adjustRightInd w:val="0"/>
              <w:rPr>
                <w:rFonts w:cs="AdvP868E"/>
                <w:color w:val="0D0D0D" w:themeColor="text1" w:themeTint="F2"/>
                <w:sz w:val="24"/>
                <w:szCs w:val="24"/>
              </w:rPr>
            </w:pPr>
            <w:r w:rsidRPr="00553AE1">
              <w:rPr>
                <w:sz w:val="24"/>
                <w:szCs w:val="24"/>
              </w:rPr>
              <w:t>Il finanziamento dovrà essere garantito per l’importo eccedente il Margine Operativo Lordo registrato nell’ultimo bilancio approvato e depositato.</w:t>
            </w:r>
          </w:p>
        </w:tc>
      </w:tr>
      <w:tr w:rsidR="00257563" w:rsidRPr="00553AE1" w:rsidTr="00257563">
        <w:tc>
          <w:tcPr>
            <w:tcW w:w="3256" w:type="dxa"/>
          </w:tcPr>
          <w:p w:rsidR="00257563" w:rsidRPr="00553AE1" w:rsidRDefault="00257563" w:rsidP="008E1A54">
            <w:pPr>
              <w:autoSpaceDE w:val="0"/>
              <w:autoSpaceDN w:val="0"/>
              <w:adjustRightInd w:val="0"/>
              <w:rPr>
                <w:rFonts w:cs="AdvP868E"/>
                <w:b/>
                <w:color w:val="0D0D0D" w:themeColor="text1" w:themeTint="F2"/>
                <w:sz w:val="24"/>
                <w:szCs w:val="24"/>
              </w:rPr>
            </w:pPr>
            <w:r w:rsidRPr="00553AE1">
              <w:rPr>
                <w:rFonts w:cs="AdvP868E"/>
                <w:b/>
                <w:color w:val="0D0D0D" w:themeColor="text1" w:themeTint="F2"/>
                <w:sz w:val="24"/>
                <w:szCs w:val="24"/>
              </w:rPr>
              <w:t xml:space="preserve">Rimborso </w:t>
            </w:r>
          </w:p>
        </w:tc>
        <w:tc>
          <w:tcPr>
            <w:tcW w:w="6372" w:type="dxa"/>
          </w:tcPr>
          <w:p w:rsidR="00257563" w:rsidRPr="00553AE1" w:rsidRDefault="00257563" w:rsidP="008E1A54">
            <w:pPr>
              <w:autoSpaceDE w:val="0"/>
              <w:autoSpaceDN w:val="0"/>
              <w:adjustRightInd w:val="0"/>
              <w:rPr>
                <w:rFonts w:cs="AdvP868E"/>
                <w:color w:val="0D0D0D" w:themeColor="text1" w:themeTint="F2"/>
                <w:sz w:val="24"/>
                <w:szCs w:val="24"/>
              </w:rPr>
            </w:pPr>
            <w:r w:rsidRPr="00553AE1">
              <w:rPr>
                <w:rFonts w:cs="AdvP868E"/>
                <w:color w:val="0D0D0D" w:themeColor="text1" w:themeTint="F2"/>
                <w:sz w:val="24"/>
                <w:szCs w:val="24"/>
              </w:rPr>
              <w:t>Rate semestrali</w:t>
            </w:r>
          </w:p>
        </w:tc>
      </w:tr>
      <w:tr w:rsidR="00257563" w:rsidRPr="00553AE1" w:rsidTr="00257563">
        <w:tc>
          <w:tcPr>
            <w:tcW w:w="3256" w:type="dxa"/>
          </w:tcPr>
          <w:p w:rsidR="00257563" w:rsidRPr="00553AE1" w:rsidRDefault="00257563" w:rsidP="008E1A54">
            <w:pPr>
              <w:autoSpaceDE w:val="0"/>
              <w:autoSpaceDN w:val="0"/>
              <w:adjustRightInd w:val="0"/>
              <w:rPr>
                <w:rFonts w:cs="AdvP868E"/>
                <w:b/>
                <w:color w:val="0D0D0D" w:themeColor="text1" w:themeTint="F2"/>
                <w:sz w:val="24"/>
                <w:szCs w:val="24"/>
              </w:rPr>
            </w:pPr>
            <w:r w:rsidRPr="00553AE1">
              <w:rPr>
                <w:rFonts w:cs="AdvP868E"/>
                <w:b/>
                <w:color w:val="0D0D0D" w:themeColor="text1" w:themeTint="F2"/>
                <w:sz w:val="24"/>
                <w:szCs w:val="24"/>
              </w:rPr>
              <w:t xml:space="preserve">De </w:t>
            </w:r>
            <w:proofErr w:type="spellStart"/>
            <w:r w:rsidRPr="00553AE1">
              <w:rPr>
                <w:rFonts w:cs="AdvP868E"/>
                <w:b/>
                <w:color w:val="0D0D0D" w:themeColor="text1" w:themeTint="F2"/>
                <w:sz w:val="24"/>
                <w:szCs w:val="24"/>
              </w:rPr>
              <w:t>minimis</w:t>
            </w:r>
            <w:proofErr w:type="spellEnd"/>
            <w:r w:rsidRPr="00553AE1">
              <w:rPr>
                <w:rFonts w:cs="AdvP868E"/>
                <w:b/>
                <w:color w:val="0D0D0D" w:themeColor="text1" w:themeTint="F2"/>
                <w:sz w:val="24"/>
                <w:szCs w:val="24"/>
              </w:rPr>
              <w:t xml:space="preserve"> </w:t>
            </w:r>
          </w:p>
        </w:tc>
        <w:tc>
          <w:tcPr>
            <w:tcW w:w="6372" w:type="dxa"/>
          </w:tcPr>
          <w:p w:rsidR="00257563" w:rsidRPr="00553AE1" w:rsidRDefault="00257563" w:rsidP="008E1A54">
            <w:pPr>
              <w:autoSpaceDE w:val="0"/>
              <w:autoSpaceDN w:val="0"/>
              <w:adjustRightInd w:val="0"/>
              <w:rPr>
                <w:rFonts w:cs="AdvP868E"/>
                <w:color w:val="0D0D0D" w:themeColor="text1" w:themeTint="F2"/>
                <w:sz w:val="24"/>
                <w:szCs w:val="24"/>
              </w:rPr>
            </w:pPr>
            <w:r w:rsidRPr="00553AE1">
              <w:rPr>
                <w:rFonts w:cs="AdvP868E"/>
                <w:color w:val="0D0D0D" w:themeColor="text1" w:themeTint="F2"/>
                <w:sz w:val="24"/>
                <w:szCs w:val="24"/>
              </w:rPr>
              <w:t xml:space="preserve">Gli interventi prevedono il regime “de </w:t>
            </w:r>
            <w:proofErr w:type="spellStart"/>
            <w:r w:rsidRPr="00553AE1">
              <w:rPr>
                <w:rFonts w:cs="AdvP868E"/>
                <w:color w:val="0D0D0D" w:themeColor="text1" w:themeTint="F2"/>
                <w:sz w:val="24"/>
                <w:szCs w:val="24"/>
              </w:rPr>
              <w:t>minimis</w:t>
            </w:r>
            <w:proofErr w:type="spellEnd"/>
            <w:r w:rsidRPr="00553AE1">
              <w:rPr>
                <w:rFonts w:cs="AdvP868E"/>
                <w:color w:val="0D0D0D" w:themeColor="text1" w:themeTint="F2"/>
                <w:sz w:val="24"/>
                <w:szCs w:val="24"/>
              </w:rPr>
              <w:t>”</w:t>
            </w:r>
          </w:p>
        </w:tc>
      </w:tr>
      <w:tr w:rsidR="00A74B36" w:rsidRPr="00553AE1" w:rsidTr="00257563">
        <w:tc>
          <w:tcPr>
            <w:tcW w:w="3256" w:type="dxa"/>
          </w:tcPr>
          <w:p w:rsidR="00A74B36" w:rsidRPr="00553AE1" w:rsidRDefault="00A74B36" w:rsidP="008E1A54">
            <w:pPr>
              <w:autoSpaceDE w:val="0"/>
              <w:autoSpaceDN w:val="0"/>
              <w:adjustRightInd w:val="0"/>
              <w:rPr>
                <w:rFonts w:cs="AdvP868E"/>
                <w:b/>
                <w:color w:val="0D0D0D" w:themeColor="text1" w:themeTint="F2"/>
                <w:sz w:val="24"/>
                <w:szCs w:val="24"/>
              </w:rPr>
            </w:pPr>
            <w:r w:rsidRPr="00553AE1">
              <w:rPr>
                <w:rFonts w:cs="AdvP868E"/>
                <w:b/>
                <w:color w:val="0D0D0D" w:themeColor="text1" w:themeTint="F2"/>
                <w:sz w:val="24"/>
                <w:szCs w:val="24"/>
              </w:rPr>
              <w:t xml:space="preserve">Erogazione </w:t>
            </w:r>
          </w:p>
        </w:tc>
        <w:tc>
          <w:tcPr>
            <w:tcW w:w="6372" w:type="dxa"/>
          </w:tcPr>
          <w:p w:rsidR="00A74B36" w:rsidRPr="00553AE1" w:rsidRDefault="00A74B36" w:rsidP="008E1A54">
            <w:pPr>
              <w:autoSpaceDE w:val="0"/>
              <w:autoSpaceDN w:val="0"/>
              <w:adjustRightInd w:val="0"/>
              <w:rPr>
                <w:rFonts w:cs="AdvP868E"/>
                <w:color w:val="0D0D0D" w:themeColor="text1" w:themeTint="F2"/>
                <w:sz w:val="24"/>
                <w:szCs w:val="24"/>
              </w:rPr>
            </w:pPr>
            <w:r w:rsidRPr="00553AE1">
              <w:rPr>
                <w:rFonts w:cs="AdvP868E"/>
                <w:color w:val="0D0D0D" w:themeColor="text1" w:themeTint="F2"/>
                <w:sz w:val="24"/>
                <w:szCs w:val="24"/>
              </w:rPr>
              <w:t>Il 50% a titolo di anticipo ed il saldo a fronte di rendicontazione</w:t>
            </w:r>
          </w:p>
        </w:tc>
      </w:tr>
      <w:tr w:rsidR="001709E4" w:rsidRPr="00553AE1" w:rsidTr="00D52001">
        <w:tc>
          <w:tcPr>
            <w:tcW w:w="3256" w:type="dxa"/>
          </w:tcPr>
          <w:p w:rsidR="001709E4" w:rsidRPr="00553AE1" w:rsidRDefault="001709E4" w:rsidP="00D52001">
            <w:pPr>
              <w:autoSpaceDE w:val="0"/>
              <w:autoSpaceDN w:val="0"/>
              <w:adjustRightInd w:val="0"/>
              <w:rPr>
                <w:rFonts w:cs="AdvP868E"/>
                <w:b/>
                <w:color w:val="0D0D0D" w:themeColor="text1" w:themeTint="F2"/>
                <w:sz w:val="24"/>
                <w:szCs w:val="24"/>
              </w:rPr>
            </w:pPr>
            <w:r w:rsidRPr="00553AE1">
              <w:rPr>
                <w:rFonts w:cs="AdvP868E"/>
                <w:b/>
                <w:color w:val="0D0D0D" w:themeColor="text1" w:themeTint="F2"/>
                <w:sz w:val="24"/>
                <w:szCs w:val="24"/>
              </w:rPr>
              <w:t xml:space="preserve">Tasso </w:t>
            </w:r>
          </w:p>
        </w:tc>
        <w:tc>
          <w:tcPr>
            <w:tcW w:w="6372" w:type="dxa"/>
          </w:tcPr>
          <w:p w:rsidR="001709E4" w:rsidRPr="00553AE1" w:rsidRDefault="001709E4" w:rsidP="00D52001">
            <w:pPr>
              <w:autoSpaceDE w:val="0"/>
              <w:autoSpaceDN w:val="0"/>
              <w:adjustRightInd w:val="0"/>
              <w:rPr>
                <w:rFonts w:cs="AdvP868E"/>
                <w:color w:val="0D0D0D" w:themeColor="text1" w:themeTint="F2"/>
                <w:sz w:val="24"/>
                <w:szCs w:val="24"/>
              </w:rPr>
            </w:pPr>
            <w:r w:rsidRPr="00553AE1">
              <w:rPr>
                <w:rStyle w:val="Enfasicorsivo"/>
                <w:rFonts w:cs="Arial"/>
                <w:i w:val="0"/>
                <w:color w:val="000000" w:themeColor="text1"/>
                <w:sz w:val="24"/>
                <w:szCs w:val="24"/>
              </w:rPr>
              <w:t>Tasso pari al 10% del tasso di riferimento UE</w:t>
            </w:r>
            <w:r w:rsidRPr="00553AE1">
              <w:rPr>
                <w:rStyle w:val="Enfasicorsivo"/>
                <w:rFonts w:ascii="Arial" w:hAnsi="Arial" w:cs="Arial"/>
                <w:color w:val="000000" w:themeColor="text1"/>
                <w:sz w:val="24"/>
                <w:szCs w:val="24"/>
              </w:rPr>
              <w:t xml:space="preserve"> </w:t>
            </w:r>
            <w:r w:rsidRPr="00553AE1">
              <w:rPr>
                <w:rStyle w:val="Enfasicorsivo"/>
                <w:rFonts w:ascii="Arial" w:hAnsi="Arial" w:cs="Arial"/>
                <w:color w:val="666666"/>
                <w:sz w:val="24"/>
                <w:szCs w:val="24"/>
              </w:rPr>
              <w:t>(</w:t>
            </w:r>
            <w:r w:rsidRPr="00553AE1">
              <w:rPr>
                <w:rFonts w:cs="AdvP868E"/>
                <w:color w:val="0D0D0D" w:themeColor="text1" w:themeTint="F2"/>
                <w:sz w:val="24"/>
                <w:szCs w:val="24"/>
              </w:rPr>
              <w:t>Attualmente 0,087%)</w:t>
            </w:r>
          </w:p>
        </w:tc>
      </w:tr>
      <w:tr w:rsidR="001709E4" w:rsidRPr="00553AE1" w:rsidTr="00D52001">
        <w:tc>
          <w:tcPr>
            <w:tcW w:w="3256" w:type="dxa"/>
          </w:tcPr>
          <w:p w:rsidR="001709E4" w:rsidRPr="00553AE1" w:rsidRDefault="001709E4" w:rsidP="00D52001">
            <w:pPr>
              <w:autoSpaceDE w:val="0"/>
              <w:autoSpaceDN w:val="0"/>
              <w:adjustRightInd w:val="0"/>
              <w:rPr>
                <w:rFonts w:cs="AdvP868E"/>
                <w:b/>
                <w:color w:val="0D0D0D" w:themeColor="text1" w:themeTint="F2"/>
                <w:sz w:val="24"/>
                <w:szCs w:val="24"/>
              </w:rPr>
            </w:pPr>
            <w:r w:rsidRPr="00553AE1">
              <w:rPr>
                <w:rFonts w:cs="AdvP868E"/>
                <w:b/>
                <w:color w:val="0D0D0D" w:themeColor="text1" w:themeTint="F2"/>
                <w:sz w:val="24"/>
                <w:szCs w:val="24"/>
              </w:rPr>
              <w:t xml:space="preserve">Indebitamento </w:t>
            </w:r>
          </w:p>
        </w:tc>
        <w:tc>
          <w:tcPr>
            <w:tcW w:w="6372" w:type="dxa"/>
          </w:tcPr>
          <w:p w:rsidR="001709E4" w:rsidRPr="00553AE1" w:rsidRDefault="001709E4" w:rsidP="00D52001">
            <w:pPr>
              <w:autoSpaceDE w:val="0"/>
              <w:autoSpaceDN w:val="0"/>
              <w:adjustRightInd w:val="0"/>
              <w:rPr>
                <w:rFonts w:cs="AdvP868E"/>
                <w:color w:val="0D0D0D" w:themeColor="text1" w:themeTint="F2"/>
                <w:sz w:val="24"/>
                <w:szCs w:val="24"/>
              </w:rPr>
            </w:pPr>
            <w:r w:rsidRPr="00553AE1">
              <w:rPr>
                <w:rFonts w:cs="AdvP868E"/>
                <w:color w:val="0D0D0D" w:themeColor="text1" w:themeTint="F2"/>
                <w:sz w:val="24"/>
                <w:szCs w:val="24"/>
              </w:rPr>
              <w:t xml:space="preserve"> Non è prevista segnalazione in centrale rischi</w:t>
            </w:r>
          </w:p>
        </w:tc>
      </w:tr>
    </w:tbl>
    <w:p w:rsidR="00257563" w:rsidRPr="00553AE1" w:rsidRDefault="00257563" w:rsidP="008E1A54">
      <w:pPr>
        <w:autoSpaceDE w:val="0"/>
        <w:autoSpaceDN w:val="0"/>
        <w:adjustRightInd w:val="0"/>
        <w:spacing w:after="0" w:line="240" w:lineRule="auto"/>
        <w:rPr>
          <w:rFonts w:cs="AdvP868E"/>
          <w:color w:val="0D0D0D" w:themeColor="text1" w:themeTint="F2"/>
          <w:sz w:val="24"/>
          <w:szCs w:val="24"/>
        </w:rPr>
      </w:pPr>
    </w:p>
    <w:p w:rsidR="00A74B36" w:rsidRPr="00553AE1" w:rsidRDefault="00A74B36" w:rsidP="008E1A54">
      <w:pPr>
        <w:autoSpaceDE w:val="0"/>
        <w:autoSpaceDN w:val="0"/>
        <w:adjustRightInd w:val="0"/>
        <w:spacing w:after="0" w:line="240" w:lineRule="auto"/>
        <w:rPr>
          <w:rFonts w:cs="AdvP868E"/>
          <w:color w:val="0D0D0D" w:themeColor="text1" w:themeTint="F2"/>
          <w:sz w:val="24"/>
          <w:szCs w:val="24"/>
        </w:rPr>
      </w:pPr>
    </w:p>
    <w:p w:rsidR="00A74B36" w:rsidRDefault="00A74B36" w:rsidP="008E1A54">
      <w:pPr>
        <w:autoSpaceDE w:val="0"/>
        <w:autoSpaceDN w:val="0"/>
        <w:adjustRightInd w:val="0"/>
        <w:spacing w:after="0" w:line="240" w:lineRule="auto"/>
        <w:rPr>
          <w:rFonts w:cs="AdvP868E"/>
          <w:color w:val="0D0D0D" w:themeColor="text1" w:themeTint="F2"/>
        </w:rPr>
      </w:pPr>
    </w:p>
    <w:p w:rsidR="00A74B36" w:rsidRDefault="00A74B36" w:rsidP="008E1A54">
      <w:pPr>
        <w:autoSpaceDE w:val="0"/>
        <w:autoSpaceDN w:val="0"/>
        <w:adjustRightInd w:val="0"/>
        <w:spacing w:after="0" w:line="240" w:lineRule="auto"/>
        <w:rPr>
          <w:rFonts w:cs="AdvP868E"/>
          <w:color w:val="0D0D0D" w:themeColor="text1" w:themeTint="F2"/>
        </w:rPr>
      </w:pPr>
    </w:p>
    <w:p w:rsidR="00EA60ED" w:rsidRDefault="00EA60ED">
      <w:pPr>
        <w:rPr>
          <w:rFonts w:cs="AdvP868E"/>
          <w:color w:val="0D0D0D" w:themeColor="text1" w:themeTint="F2"/>
        </w:rPr>
      </w:pPr>
      <w:r>
        <w:rPr>
          <w:rFonts w:cs="AdvP868E"/>
          <w:color w:val="0D0D0D" w:themeColor="text1" w:themeTint="F2"/>
        </w:rPr>
        <w:br w:type="page"/>
      </w:r>
    </w:p>
    <w:p w:rsidR="00A74B36" w:rsidRPr="00DD6469" w:rsidRDefault="00A74B36" w:rsidP="00A74B36">
      <w:pPr>
        <w:widowControl w:val="0"/>
        <w:spacing w:before="5" w:after="0" w:line="240" w:lineRule="auto"/>
        <w:rPr>
          <w:rFonts w:eastAsia="Calibri" w:cs="Calibri"/>
          <w:b/>
          <w:bCs/>
          <w:color w:val="0D0D0D" w:themeColor="text1" w:themeTint="F2"/>
        </w:rPr>
      </w:pPr>
    </w:p>
    <w:p w:rsidR="00D06C38" w:rsidRPr="00D06C38" w:rsidRDefault="00D06C38" w:rsidP="00D06C38">
      <w:pPr>
        <w:widowControl w:val="0"/>
        <w:pBdr>
          <w:top w:val="single" w:sz="4" w:space="1" w:color="auto"/>
          <w:left w:val="single" w:sz="4" w:space="4" w:color="auto"/>
          <w:bottom w:val="single" w:sz="4" w:space="1" w:color="auto"/>
          <w:right w:val="single" w:sz="4" w:space="4" w:color="auto"/>
        </w:pBdr>
        <w:spacing w:before="5" w:after="0" w:line="240" w:lineRule="auto"/>
        <w:jc w:val="center"/>
        <w:rPr>
          <w:rFonts w:eastAsia="Calibri" w:cs="Calibri"/>
          <w:b/>
          <w:bCs/>
          <w:color w:val="0D0D0D" w:themeColor="text1" w:themeTint="F2"/>
          <w:sz w:val="32"/>
          <w:szCs w:val="32"/>
        </w:rPr>
      </w:pPr>
      <w:r w:rsidRPr="00D06C38">
        <w:rPr>
          <w:rFonts w:eastAsia="Calibri" w:cs="Calibri"/>
          <w:b/>
          <w:bCs/>
          <w:color w:val="0D0D0D" w:themeColor="text1" w:themeTint="F2"/>
          <w:sz w:val="32"/>
          <w:szCs w:val="32"/>
        </w:rPr>
        <w:t>INTERNAZIONALIZZAZIONE</w:t>
      </w:r>
      <w:r>
        <w:rPr>
          <w:rFonts w:eastAsia="Calibri" w:cs="Calibri"/>
          <w:b/>
          <w:bCs/>
          <w:color w:val="0D0D0D" w:themeColor="text1" w:themeTint="F2"/>
          <w:sz w:val="32"/>
          <w:szCs w:val="32"/>
        </w:rPr>
        <w:t>:</w:t>
      </w:r>
    </w:p>
    <w:p w:rsidR="00D06C38" w:rsidRPr="00D06C38" w:rsidRDefault="00D06C38" w:rsidP="00D06C38">
      <w:pPr>
        <w:widowControl w:val="0"/>
        <w:pBdr>
          <w:top w:val="single" w:sz="4" w:space="1" w:color="auto"/>
          <w:left w:val="single" w:sz="4" w:space="4" w:color="auto"/>
          <w:bottom w:val="single" w:sz="4" w:space="1" w:color="auto"/>
          <w:right w:val="single" w:sz="4" w:space="4" w:color="auto"/>
        </w:pBdr>
        <w:spacing w:before="5" w:after="0" w:line="240" w:lineRule="auto"/>
        <w:jc w:val="center"/>
        <w:rPr>
          <w:rFonts w:eastAsia="Calibri" w:cs="Calibri"/>
          <w:b/>
          <w:bCs/>
          <w:color w:val="0D0D0D" w:themeColor="text1" w:themeTint="F2"/>
          <w:sz w:val="32"/>
          <w:szCs w:val="32"/>
        </w:rPr>
      </w:pPr>
      <w:r>
        <w:rPr>
          <w:rFonts w:eastAsia="Calibri" w:cs="Calibri"/>
          <w:b/>
          <w:bCs/>
          <w:color w:val="0D0D0D" w:themeColor="text1" w:themeTint="F2"/>
          <w:sz w:val="32"/>
          <w:szCs w:val="32"/>
        </w:rPr>
        <w:t>STUDI DI FATTIBILITA’</w:t>
      </w:r>
    </w:p>
    <w:p w:rsidR="00A74B36" w:rsidRPr="00553AE1" w:rsidRDefault="00A74B36" w:rsidP="00A74B36">
      <w:pPr>
        <w:autoSpaceDE w:val="0"/>
        <w:autoSpaceDN w:val="0"/>
        <w:adjustRightInd w:val="0"/>
        <w:spacing w:after="0" w:line="240" w:lineRule="auto"/>
        <w:rPr>
          <w:rFonts w:cs="AdvP868E"/>
          <w:color w:val="0D0D0D" w:themeColor="text1" w:themeTint="F2"/>
          <w:sz w:val="24"/>
          <w:szCs w:val="24"/>
        </w:rPr>
      </w:pPr>
    </w:p>
    <w:p w:rsidR="00A74B36" w:rsidRPr="00553AE1" w:rsidRDefault="00A74B36" w:rsidP="001709E4">
      <w:pPr>
        <w:autoSpaceDE w:val="0"/>
        <w:autoSpaceDN w:val="0"/>
        <w:adjustRightInd w:val="0"/>
        <w:spacing w:after="0" w:line="240" w:lineRule="auto"/>
        <w:jc w:val="both"/>
        <w:rPr>
          <w:rFonts w:cs="AdvP868E"/>
          <w:color w:val="0D0D0D" w:themeColor="text1" w:themeTint="F2"/>
          <w:sz w:val="24"/>
          <w:szCs w:val="24"/>
        </w:rPr>
      </w:pPr>
    </w:p>
    <w:tbl>
      <w:tblPr>
        <w:tblStyle w:val="Grigliatabella"/>
        <w:tblW w:w="0" w:type="auto"/>
        <w:tblLook w:val="04A0" w:firstRow="1" w:lastRow="0" w:firstColumn="1" w:lastColumn="0" w:noHBand="0" w:noVBand="1"/>
      </w:tblPr>
      <w:tblGrid>
        <w:gridCol w:w="3256"/>
        <w:gridCol w:w="6372"/>
      </w:tblGrid>
      <w:tr w:rsidR="00A74B36" w:rsidRPr="00553AE1" w:rsidTr="005B36F0">
        <w:tc>
          <w:tcPr>
            <w:tcW w:w="3256" w:type="dxa"/>
          </w:tcPr>
          <w:p w:rsidR="00A74B36" w:rsidRPr="00553AE1" w:rsidRDefault="00A74B36" w:rsidP="001709E4">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Beneficiari </w:t>
            </w:r>
          </w:p>
        </w:tc>
        <w:tc>
          <w:tcPr>
            <w:tcW w:w="6372" w:type="dxa"/>
          </w:tcPr>
          <w:p w:rsidR="00A74B36" w:rsidRPr="00553AE1" w:rsidRDefault="00A74B36" w:rsidP="001709E4">
            <w:pPr>
              <w:autoSpaceDE w:val="0"/>
              <w:autoSpaceDN w:val="0"/>
              <w:adjustRightInd w:val="0"/>
              <w:jc w:val="both"/>
              <w:rPr>
                <w:rFonts w:cs="AdvP868E"/>
                <w:color w:val="0D0D0D" w:themeColor="text1" w:themeTint="F2"/>
                <w:sz w:val="24"/>
                <w:szCs w:val="24"/>
              </w:rPr>
            </w:pPr>
            <w:proofErr w:type="spellStart"/>
            <w:r w:rsidRPr="00553AE1">
              <w:rPr>
                <w:rFonts w:cs="AdvP868E"/>
                <w:color w:val="0D0D0D" w:themeColor="text1" w:themeTint="F2"/>
                <w:sz w:val="24"/>
                <w:szCs w:val="24"/>
              </w:rPr>
              <w:t>Pmi</w:t>
            </w:r>
            <w:proofErr w:type="spellEnd"/>
            <w:r w:rsidRPr="00553AE1">
              <w:rPr>
                <w:rFonts w:cs="AdvP868E"/>
                <w:color w:val="0D0D0D" w:themeColor="text1" w:themeTint="F2"/>
                <w:sz w:val="24"/>
                <w:szCs w:val="24"/>
              </w:rPr>
              <w:t xml:space="preserve"> e G.I.</w:t>
            </w:r>
          </w:p>
        </w:tc>
      </w:tr>
      <w:tr w:rsidR="00A74B36" w:rsidRPr="00553AE1" w:rsidTr="005B36F0">
        <w:tc>
          <w:tcPr>
            <w:tcW w:w="3256" w:type="dxa"/>
          </w:tcPr>
          <w:p w:rsidR="00A74B36" w:rsidRPr="00553AE1" w:rsidRDefault="00A74B36" w:rsidP="001709E4">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Oggetto  </w:t>
            </w:r>
          </w:p>
        </w:tc>
        <w:tc>
          <w:tcPr>
            <w:tcW w:w="6372" w:type="dxa"/>
          </w:tcPr>
          <w:p w:rsidR="00A74B36" w:rsidRPr="00553AE1" w:rsidRDefault="00A74B36" w:rsidP="001709E4">
            <w:pPr>
              <w:autoSpaceDE w:val="0"/>
              <w:autoSpaceDN w:val="0"/>
              <w:adjustRightInd w:val="0"/>
              <w:jc w:val="both"/>
              <w:rPr>
                <w:rFonts w:cs="AdvP868E"/>
                <w:color w:val="0D0D0D" w:themeColor="text1" w:themeTint="F2"/>
                <w:sz w:val="24"/>
                <w:szCs w:val="24"/>
              </w:rPr>
            </w:pPr>
            <w:r w:rsidRPr="00553AE1">
              <w:rPr>
                <w:sz w:val="24"/>
                <w:szCs w:val="24"/>
              </w:rPr>
              <w:t>verifica preventiva della fattibilità di un investimento commerciale o produttivo che l’impresa intende realizzare in un paese extra UE.</w:t>
            </w:r>
          </w:p>
        </w:tc>
      </w:tr>
      <w:tr w:rsidR="00A74B36" w:rsidRPr="00553AE1" w:rsidTr="005B36F0">
        <w:tc>
          <w:tcPr>
            <w:tcW w:w="3256" w:type="dxa"/>
          </w:tcPr>
          <w:p w:rsidR="00A74B36" w:rsidRPr="00553AE1" w:rsidRDefault="00A74B36" w:rsidP="001709E4">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Spese ammissibili </w:t>
            </w:r>
          </w:p>
        </w:tc>
        <w:tc>
          <w:tcPr>
            <w:tcW w:w="6372" w:type="dxa"/>
          </w:tcPr>
          <w:p w:rsidR="00A74B36" w:rsidRPr="00553AE1" w:rsidRDefault="001709E4" w:rsidP="001709E4">
            <w:pPr>
              <w:autoSpaceDE w:val="0"/>
              <w:autoSpaceDN w:val="0"/>
              <w:adjustRightInd w:val="0"/>
              <w:jc w:val="both"/>
              <w:rPr>
                <w:rFonts w:cs="AdvP868E"/>
                <w:color w:val="0D0D0D" w:themeColor="text1" w:themeTint="F2"/>
                <w:sz w:val="24"/>
                <w:szCs w:val="24"/>
              </w:rPr>
            </w:pPr>
            <w:r w:rsidRPr="00553AE1">
              <w:rPr>
                <w:sz w:val="24"/>
                <w:szCs w:val="24"/>
              </w:rPr>
              <w:t>Le spese finanziabili riguardano i viaggi, i soggiorni e le indennità di trasferta del personale interno adibito all’iniziativa, nonché i compensi, i viaggi e soggiorni per il personale esterno eventualmente incaricato, con apposito contratto, di collaborare alla realizzazione dello studio. Le spese finanziabili possono essere sostenute dalla data di presentazione della domanda, fino ai 12 mesi successivi al perfezionamento del contratto.</w:t>
            </w:r>
          </w:p>
        </w:tc>
      </w:tr>
      <w:tr w:rsidR="00A74B36" w:rsidRPr="00553AE1" w:rsidTr="005B36F0">
        <w:tc>
          <w:tcPr>
            <w:tcW w:w="3256" w:type="dxa"/>
          </w:tcPr>
          <w:p w:rsidR="00A74B36" w:rsidRPr="00553AE1" w:rsidRDefault="00A74B36" w:rsidP="001709E4">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Durata </w:t>
            </w:r>
          </w:p>
        </w:tc>
        <w:tc>
          <w:tcPr>
            <w:tcW w:w="6372" w:type="dxa"/>
          </w:tcPr>
          <w:p w:rsidR="00A74B36" w:rsidRPr="00553AE1" w:rsidRDefault="001709E4" w:rsidP="001709E4">
            <w:pPr>
              <w:autoSpaceDE w:val="0"/>
              <w:autoSpaceDN w:val="0"/>
              <w:adjustRightInd w:val="0"/>
              <w:jc w:val="both"/>
              <w:rPr>
                <w:rFonts w:cs="AdvP868E"/>
                <w:color w:val="0D0D0D" w:themeColor="text1" w:themeTint="F2"/>
                <w:sz w:val="24"/>
                <w:szCs w:val="24"/>
              </w:rPr>
            </w:pPr>
            <w:r w:rsidRPr="00553AE1">
              <w:rPr>
                <w:sz w:val="24"/>
                <w:szCs w:val="24"/>
              </w:rPr>
              <w:t>4 anni a partire dalla data di perfezionamento del contratto, di cui 1 anno di pre-ammortamento in cui vengono corrisposti i soli interessi e 3 anni di ammortamento per il rimborso del capitale e degli interessi.</w:t>
            </w:r>
          </w:p>
        </w:tc>
      </w:tr>
      <w:tr w:rsidR="00A74B36" w:rsidRPr="00553AE1" w:rsidTr="005B36F0">
        <w:tc>
          <w:tcPr>
            <w:tcW w:w="3256" w:type="dxa"/>
          </w:tcPr>
          <w:p w:rsidR="00A74B36" w:rsidRPr="00553AE1" w:rsidRDefault="00A74B36" w:rsidP="001709E4">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Finanziamento massimo</w:t>
            </w:r>
          </w:p>
        </w:tc>
        <w:tc>
          <w:tcPr>
            <w:tcW w:w="6372" w:type="dxa"/>
          </w:tcPr>
          <w:p w:rsidR="00A74B36" w:rsidRPr="00553AE1" w:rsidRDefault="001709E4" w:rsidP="001709E4">
            <w:pPr>
              <w:autoSpaceDE w:val="0"/>
              <w:autoSpaceDN w:val="0"/>
              <w:adjustRightInd w:val="0"/>
              <w:jc w:val="both"/>
              <w:rPr>
                <w:rFonts w:cs="AdvP868E"/>
                <w:color w:val="0D0D0D" w:themeColor="text1" w:themeTint="F2"/>
                <w:sz w:val="24"/>
                <w:szCs w:val="24"/>
              </w:rPr>
            </w:pPr>
            <w:r w:rsidRPr="00553AE1">
              <w:rPr>
                <w:sz w:val="24"/>
                <w:szCs w:val="24"/>
              </w:rPr>
              <w:t xml:space="preserve">300.000,00 euro per studi finalizzati a un investimento produttivo e di 150.000,00 euro per studi finalizzati a un investimento </w:t>
            </w:r>
            <w:proofErr w:type="gramStart"/>
            <w:r w:rsidRPr="00553AE1">
              <w:rPr>
                <w:sz w:val="24"/>
                <w:szCs w:val="24"/>
              </w:rPr>
              <w:t>commerciale.</w:t>
            </w:r>
            <w:r w:rsidR="00D06C38" w:rsidRPr="00553AE1">
              <w:rPr>
                <w:sz w:val="24"/>
                <w:szCs w:val="24"/>
              </w:rPr>
              <w:t>(</w:t>
            </w:r>
            <w:proofErr w:type="spellStart"/>
            <w:proofErr w:type="gramEnd"/>
            <w:r w:rsidR="00D06C38" w:rsidRPr="00553AE1">
              <w:rPr>
                <w:sz w:val="24"/>
                <w:szCs w:val="24"/>
              </w:rPr>
              <w:t>max</w:t>
            </w:r>
            <w:proofErr w:type="spellEnd"/>
            <w:r w:rsidR="00D06C38" w:rsidRPr="00553AE1">
              <w:rPr>
                <w:sz w:val="24"/>
                <w:szCs w:val="24"/>
              </w:rPr>
              <w:t xml:space="preserve"> il 12,5% dei ricavi medi)</w:t>
            </w:r>
          </w:p>
        </w:tc>
      </w:tr>
      <w:tr w:rsidR="00A74B36" w:rsidRPr="00553AE1" w:rsidTr="005B36F0">
        <w:tc>
          <w:tcPr>
            <w:tcW w:w="3256" w:type="dxa"/>
          </w:tcPr>
          <w:p w:rsidR="00A74B36" w:rsidRPr="00553AE1" w:rsidRDefault="00A74B36" w:rsidP="001709E4">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Garanzia </w:t>
            </w:r>
          </w:p>
        </w:tc>
        <w:tc>
          <w:tcPr>
            <w:tcW w:w="6372" w:type="dxa"/>
          </w:tcPr>
          <w:p w:rsidR="00A74B36" w:rsidRPr="00553AE1" w:rsidRDefault="00A74B36" w:rsidP="001709E4">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La misura è stabilita dallo “scoring”</w:t>
            </w:r>
          </w:p>
        </w:tc>
      </w:tr>
      <w:tr w:rsidR="00A74B36" w:rsidRPr="00553AE1" w:rsidTr="005B36F0">
        <w:tc>
          <w:tcPr>
            <w:tcW w:w="3256" w:type="dxa"/>
          </w:tcPr>
          <w:p w:rsidR="00A74B36" w:rsidRPr="00553AE1" w:rsidRDefault="00A74B36" w:rsidP="001709E4">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Rimborso </w:t>
            </w:r>
          </w:p>
        </w:tc>
        <w:tc>
          <w:tcPr>
            <w:tcW w:w="6372" w:type="dxa"/>
          </w:tcPr>
          <w:p w:rsidR="00A74B36" w:rsidRPr="00553AE1" w:rsidRDefault="00A74B36" w:rsidP="001709E4">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Rate semestrali</w:t>
            </w:r>
          </w:p>
        </w:tc>
      </w:tr>
      <w:tr w:rsidR="00A74B36" w:rsidRPr="00553AE1" w:rsidTr="005B36F0">
        <w:tc>
          <w:tcPr>
            <w:tcW w:w="3256" w:type="dxa"/>
          </w:tcPr>
          <w:p w:rsidR="00A74B36" w:rsidRPr="00553AE1" w:rsidRDefault="00A74B36" w:rsidP="001709E4">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De </w:t>
            </w:r>
            <w:proofErr w:type="spellStart"/>
            <w:r w:rsidRPr="00553AE1">
              <w:rPr>
                <w:rFonts w:cs="AdvP868E"/>
                <w:b/>
                <w:color w:val="0D0D0D" w:themeColor="text1" w:themeTint="F2"/>
                <w:sz w:val="24"/>
                <w:szCs w:val="24"/>
              </w:rPr>
              <w:t>minimis</w:t>
            </w:r>
            <w:proofErr w:type="spellEnd"/>
            <w:r w:rsidRPr="00553AE1">
              <w:rPr>
                <w:rFonts w:cs="AdvP868E"/>
                <w:b/>
                <w:color w:val="0D0D0D" w:themeColor="text1" w:themeTint="F2"/>
                <w:sz w:val="24"/>
                <w:szCs w:val="24"/>
              </w:rPr>
              <w:t xml:space="preserve"> </w:t>
            </w:r>
          </w:p>
        </w:tc>
        <w:tc>
          <w:tcPr>
            <w:tcW w:w="6372" w:type="dxa"/>
          </w:tcPr>
          <w:p w:rsidR="00A74B36" w:rsidRPr="00553AE1" w:rsidRDefault="00A74B36" w:rsidP="001709E4">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 xml:space="preserve">Gli interventi prevedono il regime “de </w:t>
            </w:r>
            <w:proofErr w:type="spellStart"/>
            <w:r w:rsidRPr="00553AE1">
              <w:rPr>
                <w:rFonts w:cs="AdvP868E"/>
                <w:color w:val="0D0D0D" w:themeColor="text1" w:themeTint="F2"/>
                <w:sz w:val="24"/>
                <w:szCs w:val="24"/>
              </w:rPr>
              <w:t>minimis</w:t>
            </w:r>
            <w:proofErr w:type="spellEnd"/>
            <w:r w:rsidRPr="00553AE1">
              <w:rPr>
                <w:rFonts w:cs="AdvP868E"/>
                <w:color w:val="0D0D0D" w:themeColor="text1" w:themeTint="F2"/>
                <w:sz w:val="24"/>
                <w:szCs w:val="24"/>
              </w:rPr>
              <w:t>”</w:t>
            </w:r>
          </w:p>
        </w:tc>
      </w:tr>
      <w:tr w:rsidR="00A74B36" w:rsidRPr="00553AE1" w:rsidTr="005B36F0">
        <w:tc>
          <w:tcPr>
            <w:tcW w:w="3256" w:type="dxa"/>
          </w:tcPr>
          <w:p w:rsidR="00A74B36" w:rsidRPr="00553AE1" w:rsidRDefault="00A74B36" w:rsidP="001709E4">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Erogazione </w:t>
            </w:r>
          </w:p>
        </w:tc>
        <w:tc>
          <w:tcPr>
            <w:tcW w:w="6372" w:type="dxa"/>
          </w:tcPr>
          <w:p w:rsidR="00A74B36" w:rsidRPr="00553AE1" w:rsidRDefault="00A74B36" w:rsidP="001709E4">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Il 50% a titolo di anticipo ed il saldo a fronte di rendicontazione</w:t>
            </w:r>
          </w:p>
        </w:tc>
      </w:tr>
      <w:tr w:rsidR="001709E4" w:rsidRPr="00553AE1" w:rsidTr="001709E4">
        <w:tc>
          <w:tcPr>
            <w:tcW w:w="3256" w:type="dxa"/>
          </w:tcPr>
          <w:p w:rsidR="001709E4" w:rsidRPr="00553AE1" w:rsidRDefault="001709E4" w:rsidP="001709E4">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Tasso </w:t>
            </w:r>
          </w:p>
        </w:tc>
        <w:tc>
          <w:tcPr>
            <w:tcW w:w="6372" w:type="dxa"/>
          </w:tcPr>
          <w:p w:rsidR="001709E4" w:rsidRPr="00553AE1" w:rsidRDefault="001709E4" w:rsidP="001709E4">
            <w:pPr>
              <w:autoSpaceDE w:val="0"/>
              <w:autoSpaceDN w:val="0"/>
              <w:adjustRightInd w:val="0"/>
              <w:jc w:val="both"/>
              <w:rPr>
                <w:rFonts w:cs="AdvP868E"/>
                <w:color w:val="0D0D0D" w:themeColor="text1" w:themeTint="F2"/>
                <w:sz w:val="24"/>
                <w:szCs w:val="24"/>
              </w:rPr>
            </w:pPr>
            <w:r w:rsidRPr="00553AE1">
              <w:rPr>
                <w:rStyle w:val="Enfasicorsivo"/>
                <w:rFonts w:cs="Arial"/>
                <w:i w:val="0"/>
                <w:color w:val="000000" w:themeColor="text1"/>
                <w:sz w:val="24"/>
                <w:szCs w:val="24"/>
              </w:rPr>
              <w:t>Tasso pari al 10% del tasso di riferimento UE</w:t>
            </w:r>
            <w:r w:rsidRPr="00553AE1">
              <w:rPr>
                <w:rStyle w:val="Enfasicorsivo"/>
                <w:rFonts w:ascii="Arial" w:hAnsi="Arial" w:cs="Arial"/>
                <w:color w:val="000000" w:themeColor="text1"/>
                <w:sz w:val="24"/>
                <w:szCs w:val="24"/>
              </w:rPr>
              <w:t xml:space="preserve"> </w:t>
            </w:r>
            <w:r w:rsidRPr="00553AE1">
              <w:rPr>
                <w:rStyle w:val="Enfasicorsivo"/>
                <w:rFonts w:ascii="Arial" w:hAnsi="Arial" w:cs="Arial"/>
                <w:color w:val="666666"/>
                <w:sz w:val="24"/>
                <w:szCs w:val="24"/>
              </w:rPr>
              <w:t>(</w:t>
            </w:r>
            <w:r w:rsidRPr="00553AE1">
              <w:rPr>
                <w:rFonts w:cs="AdvP868E"/>
                <w:color w:val="0D0D0D" w:themeColor="text1" w:themeTint="F2"/>
                <w:sz w:val="24"/>
                <w:szCs w:val="24"/>
              </w:rPr>
              <w:t>Attualmente 0,087%)</w:t>
            </w:r>
          </w:p>
        </w:tc>
      </w:tr>
      <w:tr w:rsidR="001709E4" w:rsidRPr="00553AE1" w:rsidTr="001709E4">
        <w:tc>
          <w:tcPr>
            <w:tcW w:w="3256" w:type="dxa"/>
          </w:tcPr>
          <w:p w:rsidR="001709E4" w:rsidRPr="00553AE1" w:rsidRDefault="001709E4" w:rsidP="001709E4">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Indebitamento </w:t>
            </w:r>
          </w:p>
        </w:tc>
        <w:tc>
          <w:tcPr>
            <w:tcW w:w="6372" w:type="dxa"/>
          </w:tcPr>
          <w:p w:rsidR="001709E4" w:rsidRPr="00553AE1" w:rsidRDefault="001709E4" w:rsidP="001709E4">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 xml:space="preserve"> Non </w:t>
            </w:r>
            <w:proofErr w:type="gramStart"/>
            <w:r w:rsidRPr="00553AE1">
              <w:rPr>
                <w:rFonts w:cs="AdvP868E"/>
                <w:color w:val="0D0D0D" w:themeColor="text1" w:themeTint="F2"/>
                <w:sz w:val="24"/>
                <w:szCs w:val="24"/>
              </w:rPr>
              <w:t>è  prevista</w:t>
            </w:r>
            <w:proofErr w:type="gramEnd"/>
            <w:r w:rsidRPr="00553AE1">
              <w:rPr>
                <w:rFonts w:cs="AdvP868E"/>
                <w:color w:val="0D0D0D" w:themeColor="text1" w:themeTint="F2"/>
                <w:sz w:val="24"/>
                <w:szCs w:val="24"/>
              </w:rPr>
              <w:t xml:space="preserve"> segnalazione in centrale rischi</w:t>
            </w:r>
          </w:p>
        </w:tc>
      </w:tr>
    </w:tbl>
    <w:p w:rsidR="00A74B36" w:rsidRPr="00553AE1" w:rsidRDefault="00A74B36" w:rsidP="00A74B36">
      <w:pPr>
        <w:autoSpaceDE w:val="0"/>
        <w:autoSpaceDN w:val="0"/>
        <w:adjustRightInd w:val="0"/>
        <w:spacing w:after="0" w:line="240" w:lineRule="auto"/>
        <w:rPr>
          <w:rFonts w:cs="AdvP868E"/>
          <w:color w:val="0D0D0D" w:themeColor="text1" w:themeTint="F2"/>
          <w:sz w:val="24"/>
          <w:szCs w:val="24"/>
        </w:rPr>
      </w:pPr>
    </w:p>
    <w:p w:rsidR="00A74B36" w:rsidRDefault="00A74B36" w:rsidP="008E1A54">
      <w:pPr>
        <w:autoSpaceDE w:val="0"/>
        <w:autoSpaceDN w:val="0"/>
        <w:adjustRightInd w:val="0"/>
        <w:spacing w:after="0" w:line="240" w:lineRule="auto"/>
        <w:rPr>
          <w:rFonts w:cs="AdvP868E"/>
          <w:color w:val="0D0D0D" w:themeColor="text1" w:themeTint="F2"/>
        </w:rPr>
      </w:pPr>
    </w:p>
    <w:p w:rsidR="00EA60ED" w:rsidRDefault="00EA60ED">
      <w:pPr>
        <w:rPr>
          <w:rFonts w:cs="AdvP868E"/>
          <w:color w:val="0D0D0D" w:themeColor="text1" w:themeTint="F2"/>
        </w:rPr>
      </w:pPr>
      <w:r>
        <w:rPr>
          <w:rFonts w:cs="AdvP868E"/>
          <w:color w:val="0D0D0D" w:themeColor="text1" w:themeTint="F2"/>
        </w:rPr>
        <w:br w:type="page"/>
      </w:r>
    </w:p>
    <w:p w:rsidR="00D06C38" w:rsidRPr="00D06C38" w:rsidRDefault="00D06C38" w:rsidP="00D06C38">
      <w:pPr>
        <w:widowControl w:val="0"/>
        <w:pBdr>
          <w:top w:val="single" w:sz="4" w:space="1" w:color="auto"/>
          <w:left w:val="single" w:sz="4" w:space="4" w:color="auto"/>
          <w:bottom w:val="single" w:sz="4" w:space="1" w:color="auto"/>
          <w:right w:val="single" w:sz="4" w:space="4" w:color="auto"/>
        </w:pBdr>
        <w:spacing w:before="5" w:after="0" w:line="240" w:lineRule="auto"/>
        <w:jc w:val="center"/>
        <w:rPr>
          <w:rFonts w:eastAsia="Calibri" w:cs="Calibri"/>
          <w:b/>
          <w:bCs/>
          <w:color w:val="0D0D0D" w:themeColor="text1" w:themeTint="F2"/>
          <w:sz w:val="32"/>
          <w:szCs w:val="32"/>
        </w:rPr>
      </w:pPr>
      <w:r w:rsidRPr="00D06C38">
        <w:rPr>
          <w:rFonts w:eastAsia="Calibri" w:cs="Calibri"/>
          <w:b/>
          <w:bCs/>
          <w:color w:val="0D0D0D" w:themeColor="text1" w:themeTint="F2"/>
          <w:sz w:val="32"/>
          <w:szCs w:val="32"/>
        </w:rPr>
        <w:lastRenderedPageBreak/>
        <w:t>INTERNAZIONALIZZAZIONE</w:t>
      </w:r>
      <w:r>
        <w:rPr>
          <w:rFonts w:eastAsia="Calibri" w:cs="Calibri"/>
          <w:b/>
          <w:bCs/>
          <w:color w:val="0D0D0D" w:themeColor="text1" w:themeTint="F2"/>
          <w:sz w:val="32"/>
          <w:szCs w:val="32"/>
        </w:rPr>
        <w:t>:</w:t>
      </w:r>
    </w:p>
    <w:p w:rsidR="00D06C38" w:rsidRPr="00D06C38" w:rsidRDefault="00D06C38" w:rsidP="00D06C38">
      <w:pPr>
        <w:widowControl w:val="0"/>
        <w:pBdr>
          <w:top w:val="single" w:sz="4" w:space="1" w:color="auto"/>
          <w:left w:val="single" w:sz="4" w:space="4" w:color="auto"/>
          <w:bottom w:val="single" w:sz="4" w:space="1" w:color="auto"/>
          <w:right w:val="single" w:sz="4" w:space="4" w:color="auto"/>
        </w:pBdr>
        <w:spacing w:before="5" w:after="0" w:line="240" w:lineRule="auto"/>
        <w:jc w:val="center"/>
        <w:rPr>
          <w:rFonts w:eastAsia="Calibri" w:cs="Calibri"/>
          <w:b/>
          <w:bCs/>
          <w:color w:val="0D0D0D" w:themeColor="text1" w:themeTint="F2"/>
          <w:sz w:val="32"/>
          <w:szCs w:val="32"/>
        </w:rPr>
      </w:pPr>
      <w:r>
        <w:rPr>
          <w:rFonts w:eastAsia="Calibri" w:cs="Calibri"/>
          <w:b/>
          <w:bCs/>
          <w:color w:val="0D0D0D" w:themeColor="text1" w:themeTint="F2"/>
          <w:sz w:val="32"/>
          <w:szCs w:val="32"/>
        </w:rPr>
        <w:t>INSERIMENTO MERCATI EXTRA UE</w:t>
      </w:r>
    </w:p>
    <w:p w:rsidR="00D06C38" w:rsidRPr="00DD6469" w:rsidRDefault="00D06C38" w:rsidP="00D06C38">
      <w:pPr>
        <w:widowControl w:val="0"/>
        <w:spacing w:before="85" w:after="0" w:line="240" w:lineRule="auto"/>
        <w:ind w:right="260"/>
        <w:rPr>
          <w:rFonts w:eastAsia="Calibri" w:cs="Calibri"/>
          <w:b/>
          <w:bCs/>
          <w:color w:val="0D0D0D" w:themeColor="text1" w:themeTint="F2"/>
        </w:rPr>
      </w:pPr>
    </w:p>
    <w:tbl>
      <w:tblPr>
        <w:tblStyle w:val="Grigliatabella"/>
        <w:tblW w:w="0" w:type="auto"/>
        <w:tblLook w:val="04A0" w:firstRow="1" w:lastRow="0" w:firstColumn="1" w:lastColumn="0" w:noHBand="0" w:noVBand="1"/>
      </w:tblPr>
      <w:tblGrid>
        <w:gridCol w:w="3256"/>
        <w:gridCol w:w="6372"/>
      </w:tblGrid>
      <w:tr w:rsidR="001709E4" w:rsidRPr="00553AE1" w:rsidTr="00D52001">
        <w:tc>
          <w:tcPr>
            <w:tcW w:w="3256" w:type="dxa"/>
          </w:tcPr>
          <w:p w:rsidR="001709E4" w:rsidRPr="00553AE1" w:rsidRDefault="001709E4"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Beneficiari </w:t>
            </w:r>
          </w:p>
        </w:tc>
        <w:tc>
          <w:tcPr>
            <w:tcW w:w="6372" w:type="dxa"/>
          </w:tcPr>
          <w:p w:rsidR="001709E4" w:rsidRPr="00553AE1" w:rsidRDefault="001709E4" w:rsidP="00D52001">
            <w:pPr>
              <w:autoSpaceDE w:val="0"/>
              <w:autoSpaceDN w:val="0"/>
              <w:adjustRightInd w:val="0"/>
              <w:jc w:val="both"/>
              <w:rPr>
                <w:rFonts w:cs="AdvP868E"/>
                <w:color w:val="0D0D0D" w:themeColor="text1" w:themeTint="F2"/>
                <w:sz w:val="24"/>
                <w:szCs w:val="24"/>
              </w:rPr>
            </w:pPr>
            <w:proofErr w:type="spellStart"/>
            <w:r w:rsidRPr="00553AE1">
              <w:rPr>
                <w:rFonts w:cs="AdvP868E"/>
                <w:color w:val="0D0D0D" w:themeColor="text1" w:themeTint="F2"/>
                <w:sz w:val="24"/>
                <w:szCs w:val="24"/>
              </w:rPr>
              <w:t>Pmi</w:t>
            </w:r>
            <w:proofErr w:type="spellEnd"/>
            <w:r w:rsidRPr="00553AE1">
              <w:rPr>
                <w:rFonts w:cs="AdvP868E"/>
                <w:color w:val="0D0D0D" w:themeColor="text1" w:themeTint="F2"/>
                <w:sz w:val="24"/>
                <w:szCs w:val="24"/>
              </w:rPr>
              <w:t xml:space="preserve"> e G.I.</w:t>
            </w:r>
          </w:p>
        </w:tc>
      </w:tr>
      <w:tr w:rsidR="001709E4" w:rsidRPr="00553AE1" w:rsidTr="00D52001">
        <w:tc>
          <w:tcPr>
            <w:tcW w:w="3256" w:type="dxa"/>
          </w:tcPr>
          <w:p w:rsidR="001709E4" w:rsidRPr="00553AE1" w:rsidRDefault="001709E4"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Oggetto  </w:t>
            </w:r>
          </w:p>
        </w:tc>
        <w:tc>
          <w:tcPr>
            <w:tcW w:w="6372" w:type="dxa"/>
          </w:tcPr>
          <w:p w:rsidR="00823E9D" w:rsidRPr="00553AE1" w:rsidRDefault="001709E4" w:rsidP="00823E9D">
            <w:pPr>
              <w:pStyle w:val="Rientrocorpodeltesto"/>
              <w:ind w:left="0"/>
              <w:jc w:val="both"/>
              <w:rPr>
                <w:rFonts w:asciiTheme="minorHAnsi" w:hAnsiTheme="minorHAnsi"/>
                <w:b w:val="0"/>
                <w:szCs w:val="24"/>
              </w:rPr>
            </w:pPr>
            <w:r w:rsidRPr="00553AE1">
              <w:rPr>
                <w:rFonts w:asciiTheme="minorHAnsi" w:hAnsiTheme="minorHAnsi"/>
                <w:b w:val="0"/>
                <w:bCs/>
                <w:szCs w:val="24"/>
              </w:rPr>
              <w:t>spese sostenute per la realizzazione di strutture commerciali permanenti in Paesi extra UE.</w:t>
            </w:r>
            <w:r w:rsidR="00823E9D" w:rsidRPr="00553AE1">
              <w:rPr>
                <w:rFonts w:asciiTheme="minorHAnsi" w:hAnsiTheme="minorHAnsi"/>
                <w:b w:val="0"/>
                <w:bCs/>
                <w:szCs w:val="24"/>
              </w:rPr>
              <w:t xml:space="preserve"> </w:t>
            </w:r>
            <w:r w:rsidR="00823E9D" w:rsidRPr="00553AE1">
              <w:rPr>
                <w:rFonts w:asciiTheme="minorHAnsi" w:hAnsiTheme="minorHAnsi"/>
                <w:b w:val="0"/>
                <w:szCs w:val="24"/>
              </w:rPr>
              <w:t>Il programma prevede il lancio e la diffusione da parte del richiedente di:</w:t>
            </w:r>
          </w:p>
          <w:p w:rsidR="00823E9D" w:rsidRPr="00553AE1" w:rsidRDefault="00823E9D" w:rsidP="00823E9D">
            <w:pPr>
              <w:pStyle w:val="Rientrocorpodeltesto"/>
              <w:numPr>
                <w:ilvl w:val="0"/>
                <w:numId w:val="5"/>
              </w:numPr>
              <w:jc w:val="both"/>
              <w:rPr>
                <w:rFonts w:asciiTheme="minorHAnsi" w:hAnsiTheme="minorHAnsi"/>
                <w:b w:val="0"/>
                <w:szCs w:val="24"/>
              </w:rPr>
            </w:pPr>
            <w:r w:rsidRPr="00553AE1">
              <w:rPr>
                <w:rFonts w:asciiTheme="minorHAnsi" w:hAnsiTheme="minorHAnsi"/>
                <w:b w:val="0"/>
                <w:szCs w:val="24"/>
              </w:rPr>
              <w:t>beni e/o servizi prodotti in Italia</w:t>
            </w:r>
          </w:p>
          <w:p w:rsidR="001709E4" w:rsidRPr="00553AE1" w:rsidRDefault="00823E9D" w:rsidP="00823E9D">
            <w:pPr>
              <w:pStyle w:val="Rientrocorpodeltesto"/>
              <w:numPr>
                <w:ilvl w:val="0"/>
                <w:numId w:val="5"/>
              </w:numPr>
              <w:jc w:val="both"/>
              <w:rPr>
                <w:rFonts w:ascii="Verdana" w:hAnsi="Verdana"/>
                <w:b w:val="0"/>
                <w:szCs w:val="24"/>
              </w:rPr>
            </w:pPr>
            <w:r w:rsidRPr="00553AE1">
              <w:rPr>
                <w:rFonts w:asciiTheme="minorHAnsi" w:hAnsiTheme="minorHAnsi"/>
                <w:b w:val="0"/>
                <w:szCs w:val="24"/>
              </w:rPr>
              <w:t>beni e/o servizi non prodotti in Italia ma distribuiti con il marchio di imprese italiane</w:t>
            </w:r>
          </w:p>
        </w:tc>
      </w:tr>
      <w:tr w:rsidR="001709E4" w:rsidRPr="00553AE1" w:rsidTr="00D52001">
        <w:tc>
          <w:tcPr>
            <w:tcW w:w="3256" w:type="dxa"/>
          </w:tcPr>
          <w:p w:rsidR="001709E4" w:rsidRPr="00553AE1" w:rsidRDefault="001709E4"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Spese ammissibili </w:t>
            </w:r>
          </w:p>
        </w:tc>
        <w:tc>
          <w:tcPr>
            <w:tcW w:w="6372" w:type="dxa"/>
          </w:tcPr>
          <w:p w:rsidR="001709E4" w:rsidRPr="00553AE1" w:rsidRDefault="001709E4" w:rsidP="00D52001">
            <w:pPr>
              <w:autoSpaceDE w:val="0"/>
              <w:autoSpaceDN w:val="0"/>
              <w:adjustRightInd w:val="0"/>
              <w:jc w:val="both"/>
              <w:rPr>
                <w:sz w:val="24"/>
                <w:szCs w:val="24"/>
              </w:rPr>
            </w:pPr>
            <w:r w:rsidRPr="00553AE1">
              <w:rPr>
                <w:sz w:val="24"/>
                <w:szCs w:val="24"/>
              </w:rPr>
              <w:t>Le spese finanziabili riguardano la struttura che si realizza nel Paese estero, il suo funzionamento e le attività promozionali</w:t>
            </w:r>
            <w:r w:rsidR="00823E9D" w:rsidRPr="00553AE1">
              <w:rPr>
                <w:sz w:val="24"/>
                <w:szCs w:val="24"/>
              </w:rPr>
              <w:t>.</w:t>
            </w:r>
          </w:p>
          <w:p w:rsidR="00823E9D" w:rsidRPr="00553AE1" w:rsidRDefault="00823E9D" w:rsidP="00823E9D">
            <w:pPr>
              <w:numPr>
                <w:ilvl w:val="0"/>
                <w:numId w:val="6"/>
              </w:numPr>
              <w:spacing w:before="100" w:beforeAutospacing="1" w:after="100" w:afterAutospacing="1"/>
              <w:jc w:val="both"/>
              <w:rPr>
                <w:color w:val="000000"/>
                <w:sz w:val="24"/>
                <w:szCs w:val="24"/>
              </w:rPr>
            </w:pPr>
            <w:r w:rsidRPr="00553AE1">
              <w:rPr>
                <w:color w:val="000000"/>
                <w:sz w:val="24"/>
                <w:szCs w:val="24"/>
              </w:rPr>
              <w:t xml:space="preserve">Spese per acquisto di </w:t>
            </w:r>
            <w:r w:rsidRPr="00553AE1">
              <w:rPr>
                <w:b/>
                <w:color w:val="000000"/>
                <w:sz w:val="24"/>
                <w:szCs w:val="24"/>
              </w:rPr>
              <w:t>immobili</w:t>
            </w:r>
            <w:r w:rsidRPr="00553AE1">
              <w:rPr>
                <w:color w:val="000000"/>
                <w:sz w:val="24"/>
                <w:szCs w:val="24"/>
              </w:rPr>
              <w:t xml:space="preserve"> (sono ammissibili nel limite del 50% del valore dell’immobile</w:t>
            </w:r>
            <w:proofErr w:type="gramStart"/>
            <w:r w:rsidRPr="00553AE1">
              <w:rPr>
                <w:color w:val="000000"/>
                <w:sz w:val="24"/>
                <w:szCs w:val="24"/>
              </w:rPr>
              <w:t>),</w:t>
            </w:r>
            <w:proofErr w:type="spellStart"/>
            <w:r w:rsidRPr="00553AE1">
              <w:rPr>
                <w:color w:val="000000"/>
                <w:sz w:val="24"/>
                <w:szCs w:val="24"/>
              </w:rPr>
              <w:t>leasing</w:t>
            </w:r>
            <w:proofErr w:type="gramEnd"/>
            <w:r w:rsidRPr="00553AE1">
              <w:rPr>
                <w:color w:val="000000"/>
                <w:sz w:val="24"/>
                <w:szCs w:val="24"/>
              </w:rPr>
              <w:t>,affitto</w:t>
            </w:r>
            <w:proofErr w:type="spellEnd"/>
          </w:p>
          <w:p w:rsidR="00823E9D" w:rsidRPr="00553AE1" w:rsidRDefault="00823E9D" w:rsidP="00823E9D">
            <w:pPr>
              <w:numPr>
                <w:ilvl w:val="0"/>
                <w:numId w:val="6"/>
              </w:numPr>
              <w:spacing w:before="100" w:beforeAutospacing="1" w:after="100" w:afterAutospacing="1"/>
              <w:jc w:val="both"/>
              <w:rPr>
                <w:sz w:val="24"/>
                <w:szCs w:val="24"/>
              </w:rPr>
            </w:pPr>
            <w:r w:rsidRPr="00553AE1">
              <w:rPr>
                <w:sz w:val="24"/>
                <w:szCs w:val="24"/>
              </w:rPr>
              <w:t xml:space="preserve">Spese per allestimento e </w:t>
            </w:r>
            <w:r w:rsidRPr="00553AE1">
              <w:rPr>
                <w:b/>
                <w:sz w:val="24"/>
                <w:szCs w:val="24"/>
              </w:rPr>
              <w:t>gestione dei locali</w:t>
            </w:r>
            <w:r w:rsidRPr="00553AE1">
              <w:rPr>
                <w:sz w:val="24"/>
                <w:szCs w:val="24"/>
              </w:rPr>
              <w:t xml:space="preserve"> all’estero quali uffici, show room, magazzini, punti vendita e negozi (</w:t>
            </w:r>
            <w:proofErr w:type="spellStart"/>
            <w:proofErr w:type="gramStart"/>
            <w:r w:rsidRPr="00553AE1">
              <w:rPr>
                <w:sz w:val="24"/>
                <w:szCs w:val="24"/>
              </w:rPr>
              <w:t>arredamento,ristrutturazione</w:t>
            </w:r>
            <w:proofErr w:type="gramEnd"/>
            <w:r w:rsidRPr="00553AE1">
              <w:rPr>
                <w:sz w:val="24"/>
                <w:szCs w:val="24"/>
              </w:rPr>
              <w:t>,impianti,attrezzature</w:t>
            </w:r>
            <w:proofErr w:type="spellEnd"/>
            <w:r w:rsidRPr="00553AE1">
              <w:rPr>
                <w:sz w:val="24"/>
                <w:szCs w:val="24"/>
              </w:rPr>
              <w:t>)</w:t>
            </w:r>
          </w:p>
          <w:p w:rsidR="00823E9D" w:rsidRPr="00553AE1" w:rsidRDefault="00823E9D" w:rsidP="00823E9D">
            <w:pPr>
              <w:numPr>
                <w:ilvl w:val="0"/>
                <w:numId w:val="6"/>
              </w:numPr>
              <w:spacing w:before="100" w:beforeAutospacing="1" w:after="100" w:afterAutospacing="1"/>
              <w:jc w:val="both"/>
              <w:rPr>
                <w:sz w:val="24"/>
                <w:szCs w:val="24"/>
              </w:rPr>
            </w:pPr>
            <w:r w:rsidRPr="00553AE1">
              <w:rPr>
                <w:sz w:val="24"/>
                <w:szCs w:val="24"/>
              </w:rPr>
              <w:t xml:space="preserve">Spese per acquisto/leasing </w:t>
            </w:r>
            <w:r w:rsidRPr="00553AE1">
              <w:rPr>
                <w:b/>
                <w:sz w:val="24"/>
                <w:szCs w:val="24"/>
              </w:rPr>
              <w:t>automezzi</w:t>
            </w:r>
          </w:p>
          <w:p w:rsidR="00823E9D" w:rsidRPr="00553AE1" w:rsidRDefault="00823E9D" w:rsidP="00823E9D">
            <w:pPr>
              <w:numPr>
                <w:ilvl w:val="0"/>
                <w:numId w:val="6"/>
              </w:numPr>
              <w:spacing w:before="100" w:beforeAutospacing="1" w:after="100" w:afterAutospacing="1"/>
              <w:rPr>
                <w:sz w:val="24"/>
                <w:szCs w:val="24"/>
              </w:rPr>
            </w:pPr>
            <w:r w:rsidRPr="00553AE1">
              <w:rPr>
                <w:sz w:val="24"/>
                <w:szCs w:val="24"/>
              </w:rPr>
              <w:t xml:space="preserve">Spese per strutture di </w:t>
            </w:r>
            <w:r w:rsidRPr="00553AE1">
              <w:rPr>
                <w:b/>
                <w:sz w:val="24"/>
                <w:szCs w:val="24"/>
              </w:rPr>
              <w:t xml:space="preserve">rappresentanza </w:t>
            </w:r>
            <w:r w:rsidRPr="00553AE1">
              <w:rPr>
                <w:sz w:val="24"/>
                <w:szCs w:val="24"/>
              </w:rPr>
              <w:t>(</w:t>
            </w:r>
            <w:proofErr w:type="spellStart"/>
            <w:proofErr w:type="gramStart"/>
            <w:r w:rsidRPr="00553AE1">
              <w:rPr>
                <w:sz w:val="24"/>
                <w:szCs w:val="24"/>
              </w:rPr>
              <w:t>canoni,taxi</w:t>
            </w:r>
            <w:proofErr w:type="gramEnd"/>
            <w:r w:rsidRPr="00553AE1">
              <w:rPr>
                <w:sz w:val="24"/>
                <w:szCs w:val="24"/>
              </w:rPr>
              <w:t>,pulizia,manutenzione,assicuraz</w:t>
            </w:r>
            <w:proofErr w:type="spellEnd"/>
            <w:r w:rsidRPr="00553AE1">
              <w:rPr>
                <w:sz w:val="24"/>
                <w:szCs w:val="24"/>
              </w:rPr>
              <w:t>.)</w:t>
            </w:r>
          </w:p>
          <w:p w:rsidR="00823E9D" w:rsidRPr="00553AE1" w:rsidRDefault="00823E9D" w:rsidP="00823E9D">
            <w:pPr>
              <w:numPr>
                <w:ilvl w:val="0"/>
                <w:numId w:val="6"/>
              </w:numPr>
              <w:spacing w:before="100" w:beforeAutospacing="1" w:after="100" w:afterAutospacing="1"/>
              <w:rPr>
                <w:sz w:val="24"/>
                <w:szCs w:val="24"/>
              </w:rPr>
            </w:pPr>
            <w:r w:rsidRPr="00553AE1">
              <w:rPr>
                <w:sz w:val="24"/>
                <w:szCs w:val="24"/>
              </w:rPr>
              <w:t xml:space="preserve">Spese per </w:t>
            </w:r>
            <w:r w:rsidRPr="00553AE1">
              <w:rPr>
                <w:b/>
                <w:sz w:val="24"/>
                <w:szCs w:val="24"/>
              </w:rPr>
              <w:t>materiali</w:t>
            </w:r>
            <w:r w:rsidRPr="00553AE1">
              <w:rPr>
                <w:sz w:val="24"/>
                <w:szCs w:val="24"/>
              </w:rPr>
              <w:t xml:space="preserve"> (cancelleria, </w:t>
            </w:r>
            <w:proofErr w:type="spellStart"/>
            <w:proofErr w:type="gramStart"/>
            <w:r w:rsidRPr="00553AE1">
              <w:rPr>
                <w:sz w:val="24"/>
                <w:szCs w:val="24"/>
              </w:rPr>
              <w:t>abbonamenti,carburanti</w:t>
            </w:r>
            <w:proofErr w:type="spellEnd"/>
            <w:proofErr w:type="gramEnd"/>
            <w:r w:rsidRPr="00553AE1">
              <w:rPr>
                <w:sz w:val="24"/>
                <w:szCs w:val="24"/>
              </w:rPr>
              <w:t>)</w:t>
            </w:r>
          </w:p>
          <w:p w:rsidR="00823E9D" w:rsidRPr="00553AE1" w:rsidRDefault="00823E9D" w:rsidP="00823E9D">
            <w:pPr>
              <w:numPr>
                <w:ilvl w:val="0"/>
                <w:numId w:val="6"/>
              </w:numPr>
              <w:spacing w:before="100" w:beforeAutospacing="1" w:after="100" w:afterAutospacing="1"/>
              <w:rPr>
                <w:sz w:val="24"/>
                <w:szCs w:val="24"/>
              </w:rPr>
            </w:pPr>
            <w:r w:rsidRPr="00553AE1">
              <w:rPr>
                <w:sz w:val="24"/>
                <w:szCs w:val="24"/>
              </w:rPr>
              <w:t xml:space="preserve">Spese per </w:t>
            </w:r>
            <w:r w:rsidRPr="00553AE1">
              <w:rPr>
                <w:b/>
                <w:sz w:val="24"/>
                <w:szCs w:val="24"/>
              </w:rPr>
              <w:t>personale</w:t>
            </w:r>
            <w:r w:rsidRPr="00553AE1">
              <w:rPr>
                <w:sz w:val="24"/>
                <w:szCs w:val="24"/>
              </w:rPr>
              <w:t xml:space="preserve"> all’estero (</w:t>
            </w:r>
            <w:proofErr w:type="spellStart"/>
            <w:proofErr w:type="gramStart"/>
            <w:r w:rsidRPr="00553AE1">
              <w:rPr>
                <w:sz w:val="24"/>
                <w:szCs w:val="24"/>
              </w:rPr>
              <w:t>retribuzioni,oneri</w:t>
            </w:r>
            <w:proofErr w:type="spellEnd"/>
            <w:proofErr w:type="gramEnd"/>
            <w:r w:rsidRPr="00553AE1">
              <w:rPr>
                <w:sz w:val="24"/>
                <w:szCs w:val="24"/>
              </w:rPr>
              <w:t xml:space="preserve"> sociali/previdenziali)</w:t>
            </w:r>
          </w:p>
          <w:p w:rsidR="00823E9D" w:rsidRPr="00553AE1" w:rsidRDefault="00823E9D" w:rsidP="00823E9D">
            <w:pPr>
              <w:numPr>
                <w:ilvl w:val="0"/>
                <w:numId w:val="6"/>
              </w:numPr>
              <w:spacing w:before="100" w:beforeAutospacing="1" w:after="100" w:afterAutospacing="1"/>
              <w:rPr>
                <w:sz w:val="24"/>
                <w:szCs w:val="24"/>
              </w:rPr>
            </w:pPr>
            <w:r w:rsidRPr="00553AE1">
              <w:rPr>
                <w:sz w:val="24"/>
                <w:szCs w:val="24"/>
              </w:rPr>
              <w:t xml:space="preserve">Spese per </w:t>
            </w:r>
            <w:r w:rsidRPr="00553AE1">
              <w:rPr>
                <w:b/>
                <w:sz w:val="24"/>
                <w:szCs w:val="24"/>
              </w:rPr>
              <w:t>viaggi e missioni</w:t>
            </w:r>
            <w:r w:rsidRPr="00553AE1">
              <w:rPr>
                <w:sz w:val="24"/>
                <w:szCs w:val="24"/>
              </w:rPr>
              <w:t xml:space="preserve"> del personale all’estero</w:t>
            </w:r>
          </w:p>
          <w:p w:rsidR="00823E9D" w:rsidRPr="00553AE1" w:rsidRDefault="00823E9D" w:rsidP="00823E9D">
            <w:pPr>
              <w:numPr>
                <w:ilvl w:val="0"/>
                <w:numId w:val="6"/>
              </w:numPr>
              <w:spacing w:before="100" w:beforeAutospacing="1" w:after="100" w:afterAutospacing="1"/>
              <w:rPr>
                <w:sz w:val="24"/>
                <w:szCs w:val="24"/>
              </w:rPr>
            </w:pPr>
            <w:r w:rsidRPr="00553AE1">
              <w:rPr>
                <w:sz w:val="24"/>
                <w:szCs w:val="24"/>
              </w:rPr>
              <w:t xml:space="preserve">Spese per </w:t>
            </w:r>
            <w:r w:rsidRPr="00553AE1">
              <w:rPr>
                <w:b/>
                <w:sz w:val="24"/>
                <w:szCs w:val="24"/>
              </w:rPr>
              <w:t>consulenze</w:t>
            </w:r>
            <w:r w:rsidRPr="00553AE1">
              <w:rPr>
                <w:sz w:val="24"/>
                <w:szCs w:val="24"/>
              </w:rPr>
              <w:t xml:space="preserve"> (</w:t>
            </w:r>
            <w:proofErr w:type="spellStart"/>
            <w:r w:rsidRPr="00553AE1">
              <w:rPr>
                <w:sz w:val="24"/>
                <w:szCs w:val="24"/>
              </w:rPr>
              <w:t>max</w:t>
            </w:r>
            <w:proofErr w:type="spellEnd"/>
            <w:r w:rsidRPr="00553AE1">
              <w:rPr>
                <w:sz w:val="24"/>
                <w:szCs w:val="24"/>
              </w:rPr>
              <w:t xml:space="preserve"> 10%intero programma)</w:t>
            </w:r>
          </w:p>
          <w:p w:rsidR="00823E9D" w:rsidRPr="00553AE1" w:rsidRDefault="00823E9D" w:rsidP="00823E9D">
            <w:pPr>
              <w:numPr>
                <w:ilvl w:val="0"/>
                <w:numId w:val="6"/>
              </w:numPr>
              <w:spacing w:before="100" w:beforeAutospacing="1" w:after="100" w:afterAutospacing="1"/>
              <w:jc w:val="both"/>
              <w:rPr>
                <w:sz w:val="24"/>
                <w:szCs w:val="24"/>
              </w:rPr>
            </w:pPr>
            <w:r w:rsidRPr="00553AE1">
              <w:rPr>
                <w:sz w:val="24"/>
                <w:szCs w:val="24"/>
              </w:rPr>
              <w:t xml:space="preserve">Spese per </w:t>
            </w:r>
            <w:r w:rsidRPr="00553AE1">
              <w:rPr>
                <w:b/>
                <w:sz w:val="24"/>
                <w:szCs w:val="24"/>
              </w:rPr>
              <w:t>formazione</w:t>
            </w:r>
            <w:r w:rsidRPr="00553AE1">
              <w:rPr>
                <w:sz w:val="24"/>
                <w:szCs w:val="24"/>
              </w:rPr>
              <w:t xml:space="preserve"> personale estero</w:t>
            </w:r>
          </w:p>
          <w:p w:rsidR="00823E9D" w:rsidRPr="00553AE1" w:rsidRDefault="00823E9D" w:rsidP="00823E9D">
            <w:pPr>
              <w:numPr>
                <w:ilvl w:val="0"/>
                <w:numId w:val="6"/>
              </w:numPr>
              <w:spacing w:before="100" w:beforeAutospacing="1" w:after="100" w:afterAutospacing="1"/>
              <w:jc w:val="both"/>
              <w:rPr>
                <w:sz w:val="24"/>
                <w:szCs w:val="24"/>
              </w:rPr>
            </w:pPr>
            <w:r w:rsidRPr="00553AE1">
              <w:rPr>
                <w:sz w:val="24"/>
                <w:szCs w:val="24"/>
              </w:rPr>
              <w:t xml:space="preserve">Spese per </w:t>
            </w:r>
            <w:r w:rsidRPr="00553AE1">
              <w:rPr>
                <w:b/>
                <w:sz w:val="24"/>
                <w:szCs w:val="24"/>
              </w:rPr>
              <w:t>consulenze</w:t>
            </w:r>
            <w:r w:rsidRPr="00553AE1">
              <w:rPr>
                <w:sz w:val="24"/>
                <w:szCs w:val="24"/>
              </w:rPr>
              <w:t xml:space="preserve"> specialistiche (Max il 10% dell’importo totale del programma)</w:t>
            </w:r>
          </w:p>
          <w:p w:rsidR="00823E9D" w:rsidRPr="00553AE1" w:rsidRDefault="00823E9D" w:rsidP="00823E9D">
            <w:pPr>
              <w:numPr>
                <w:ilvl w:val="0"/>
                <w:numId w:val="6"/>
              </w:numPr>
              <w:spacing w:before="100" w:beforeAutospacing="1" w:after="100" w:afterAutospacing="1"/>
              <w:jc w:val="both"/>
              <w:rPr>
                <w:sz w:val="24"/>
                <w:szCs w:val="24"/>
              </w:rPr>
            </w:pPr>
            <w:r w:rsidRPr="00553AE1">
              <w:rPr>
                <w:sz w:val="24"/>
                <w:szCs w:val="24"/>
              </w:rPr>
              <w:t xml:space="preserve">Spese relative ad incoming di </w:t>
            </w:r>
            <w:r w:rsidRPr="00553AE1">
              <w:rPr>
                <w:b/>
                <w:sz w:val="24"/>
                <w:szCs w:val="24"/>
              </w:rPr>
              <w:t>buyer</w:t>
            </w:r>
            <w:r w:rsidRPr="00553AE1">
              <w:rPr>
                <w:sz w:val="24"/>
                <w:szCs w:val="24"/>
              </w:rPr>
              <w:t xml:space="preserve"> in Italia</w:t>
            </w:r>
          </w:p>
          <w:p w:rsidR="00823E9D" w:rsidRPr="00553AE1" w:rsidRDefault="00823E9D" w:rsidP="00823E9D">
            <w:pPr>
              <w:numPr>
                <w:ilvl w:val="0"/>
                <w:numId w:val="6"/>
              </w:numPr>
              <w:spacing w:before="100" w:beforeAutospacing="1" w:after="100" w:afterAutospacing="1"/>
              <w:jc w:val="both"/>
              <w:rPr>
                <w:sz w:val="24"/>
                <w:szCs w:val="24"/>
              </w:rPr>
            </w:pPr>
            <w:r w:rsidRPr="00553AE1">
              <w:rPr>
                <w:sz w:val="24"/>
                <w:szCs w:val="24"/>
              </w:rPr>
              <w:t xml:space="preserve">Spese deposito </w:t>
            </w:r>
            <w:r w:rsidRPr="00553AE1">
              <w:rPr>
                <w:b/>
                <w:sz w:val="24"/>
                <w:szCs w:val="24"/>
              </w:rPr>
              <w:t>marchi</w:t>
            </w:r>
            <w:r w:rsidRPr="00553AE1">
              <w:rPr>
                <w:sz w:val="24"/>
                <w:szCs w:val="24"/>
              </w:rPr>
              <w:t xml:space="preserve"> o per </w:t>
            </w:r>
            <w:proofErr w:type="gramStart"/>
            <w:r w:rsidRPr="00553AE1">
              <w:rPr>
                <w:sz w:val="24"/>
                <w:szCs w:val="24"/>
              </w:rPr>
              <w:t>altre forma</w:t>
            </w:r>
            <w:proofErr w:type="gramEnd"/>
            <w:r w:rsidRPr="00553AE1">
              <w:rPr>
                <w:sz w:val="24"/>
                <w:szCs w:val="24"/>
              </w:rPr>
              <w:t xml:space="preserve"> di tutela del made in Italy</w:t>
            </w:r>
          </w:p>
          <w:p w:rsidR="00823E9D" w:rsidRPr="00553AE1" w:rsidRDefault="00823E9D" w:rsidP="00823E9D">
            <w:pPr>
              <w:numPr>
                <w:ilvl w:val="0"/>
                <w:numId w:val="6"/>
              </w:numPr>
              <w:spacing w:before="100" w:beforeAutospacing="1" w:after="100" w:afterAutospacing="1"/>
              <w:jc w:val="both"/>
              <w:rPr>
                <w:b/>
                <w:sz w:val="24"/>
                <w:szCs w:val="24"/>
              </w:rPr>
            </w:pPr>
            <w:r w:rsidRPr="00553AE1">
              <w:rPr>
                <w:b/>
                <w:sz w:val="24"/>
                <w:szCs w:val="24"/>
              </w:rPr>
              <w:t>Studi di mercato</w:t>
            </w:r>
          </w:p>
          <w:p w:rsidR="00823E9D" w:rsidRPr="00553AE1" w:rsidRDefault="00823E9D" w:rsidP="00823E9D">
            <w:pPr>
              <w:numPr>
                <w:ilvl w:val="0"/>
                <w:numId w:val="6"/>
              </w:numPr>
              <w:spacing w:before="100" w:beforeAutospacing="1" w:after="100" w:afterAutospacing="1"/>
              <w:jc w:val="both"/>
              <w:rPr>
                <w:sz w:val="24"/>
                <w:szCs w:val="24"/>
              </w:rPr>
            </w:pPr>
            <w:r w:rsidRPr="00553AE1">
              <w:rPr>
                <w:sz w:val="24"/>
                <w:szCs w:val="24"/>
              </w:rPr>
              <w:t>Spese per azioni promozionali (</w:t>
            </w:r>
            <w:r w:rsidRPr="00553AE1">
              <w:rPr>
                <w:b/>
                <w:sz w:val="24"/>
                <w:szCs w:val="24"/>
              </w:rPr>
              <w:t xml:space="preserve">mostre e </w:t>
            </w:r>
            <w:proofErr w:type="spellStart"/>
            <w:proofErr w:type="gramStart"/>
            <w:r w:rsidRPr="00553AE1">
              <w:rPr>
                <w:b/>
                <w:sz w:val="24"/>
                <w:szCs w:val="24"/>
              </w:rPr>
              <w:t>fiere</w:t>
            </w:r>
            <w:r w:rsidRPr="00553AE1">
              <w:rPr>
                <w:sz w:val="24"/>
                <w:szCs w:val="24"/>
              </w:rPr>
              <w:t>,sfilate</w:t>
            </w:r>
            <w:proofErr w:type="gramEnd"/>
            <w:r w:rsidRPr="00553AE1">
              <w:rPr>
                <w:sz w:val="24"/>
                <w:szCs w:val="24"/>
              </w:rPr>
              <w:t>,convegni,seminari</w:t>
            </w:r>
            <w:proofErr w:type="spellEnd"/>
            <w:r w:rsidRPr="00553AE1">
              <w:rPr>
                <w:sz w:val="24"/>
                <w:szCs w:val="24"/>
              </w:rPr>
              <w:t>, tutte nel paese di destinazione)</w:t>
            </w:r>
          </w:p>
          <w:p w:rsidR="00823E9D" w:rsidRPr="00553AE1" w:rsidRDefault="00823E9D" w:rsidP="00823E9D">
            <w:pPr>
              <w:numPr>
                <w:ilvl w:val="0"/>
                <w:numId w:val="6"/>
              </w:numPr>
              <w:spacing w:before="100" w:beforeAutospacing="1" w:after="100" w:afterAutospacing="1"/>
              <w:jc w:val="both"/>
              <w:rPr>
                <w:sz w:val="24"/>
                <w:szCs w:val="24"/>
              </w:rPr>
            </w:pPr>
            <w:r w:rsidRPr="00553AE1">
              <w:rPr>
                <w:sz w:val="24"/>
                <w:szCs w:val="24"/>
              </w:rPr>
              <w:t xml:space="preserve">Spese per </w:t>
            </w:r>
            <w:r w:rsidRPr="00553AE1">
              <w:rPr>
                <w:b/>
                <w:sz w:val="24"/>
                <w:szCs w:val="24"/>
              </w:rPr>
              <w:t>pubblicità</w:t>
            </w:r>
            <w:r w:rsidRPr="00553AE1">
              <w:rPr>
                <w:sz w:val="24"/>
                <w:szCs w:val="24"/>
              </w:rPr>
              <w:t xml:space="preserve"> e sponsorizzazioni eventi, anche attraverso </w:t>
            </w:r>
            <w:proofErr w:type="spellStart"/>
            <w:proofErr w:type="gramStart"/>
            <w:r w:rsidRPr="00553AE1">
              <w:rPr>
                <w:sz w:val="24"/>
                <w:szCs w:val="24"/>
              </w:rPr>
              <w:t>depliant,manifesti</w:t>
            </w:r>
            <w:proofErr w:type="spellEnd"/>
            <w:proofErr w:type="gramEnd"/>
          </w:p>
          <w:p w:rsidR="00823E9D" w:rsidRPr="00553AE1" w:rsidRDefault="00823E9D" w:rsidP="00823E9D">
            <w:pPr>
              <w:numPr>
                <w:ilvl w:val="0"/>
                <w:numId w:val="6"/>
              </w:numPr>
              <w:spacing w:before="100" w:beforeAutospacing="1" w:after="100" w:afterAutospacing="1"/>
              <w:jc w:val="both"/>
              <w:rPr>
                <w:sz w:val="24"/>
                <w:szCs w:val="24"/>
              </w:rPr>
            </w:pPr>
            <w:r w:rsidRPr="00553AE1">
              <w:rPr>
                <w:sz w:val="24"/>
                <w:szCs w:val="24"/>
              </w:rPr>
              <w:t xml:space="preserve">Spese per </w:t>
            </w:r>
            <w:r w:rsidRPr="00553AE1">
              <w:rPr>
                <w:b/>
                <w:sz w:val="24"/>
                <w:szCs w:val="24"/>
              </w:rPr>
              <w:t>registrazione prodotti</w:t>
            </w:r>
            <w:r w:rsidRPr="00553AE1">
              <w:rPr>
                <w:sz w:val="24"/>
                <w:szCs w:val="24"/>
              </w:rPr>
              <w:t xml:space="preserve"> nel paese di realizzazione del programma</w:t>
            </w:r>
          </w:p>
        </w:tc>
      </w:tr>
      <w:tr w:rsidR="001709E4" w:rsidRPr="00553AE1" w:rsidTr="00D52001">
        <w:tc>
          <w:tcPr>
            <w:tcW w:w="3256" w:type="dxa"/>
          </w:tcPr>
          <w:p w:rsidR="001709E4" w:rsidRPr="00553AE1" w:rsidRDefault="001709E4"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Durata </w:t>
            </w:r>
          </w:p>
        </w:tc>
        <w:tc>
          <w:tcPr>
            <w:tcW w:w="6372" w:type="dxa"/>
          </w:tcPr>
          <w:p w:rsidR="001709E4" w:rsidRPr="00553AE1" w:rsidRDefault="001709E4" w:rsidP="00D52001">
            <w:pPr>
              <w:autoSpaceDE w:val="0"/>
              <w:autoSpaceDN w:val="0"/>
              <w:adjustRightInd w:val="0"/>
              <w:jc w:val="both"/>
              <w:rPr>
                <w:rFonts w:cs="AdvP868E"/>
                <w:color w:val="0D0D0D" w:themeColor="text1" w:themeTint="F2"/>
                <w:sz w:val="24"/>
                <w:szCs w:val="24"/>
              </w:rPr>
            </w:pPr>
            <w:r w:rsidRPr="00553AE1">
              <w:rPr>
                <w:sz w:val="24"/>
                <w:szCs w:val="24"/>
              </w:rPr>
              <w:t>2 anni di pre-ammortamento in cui vengono corrisposti i soli interessi e 4 anni di ammortamento per il rimborso</w:t>
            </w:r>
            <w:r w:rsidR="00823E9D" w:rsidRPr="00553AE1">
              <w:rPr>
                <w:sz w:val="24"/>
                <w:szCs w:val="24"/>
              </w:rPr>
              <w:t xml:space="preserve"> del capitale e degli interessi</w:t>
            </w:r>
          </w:p>
        </w:tc>
      </w:tr>
      <w:tr w:rsidR="001709E4" w:rsidRPr="00553AE1" w:rsidTr="00D52001">
        <w:tc>
          <w:tcPr>
            <w:tcW w:w="3256" w:type="dxa"/>
          </w:tcPr>
          <w:p w:rsidR="001709E4" w:rsidRPr="00553AE1" w:rsidRDefault="001709E4" w:rsidP="00D52001">
            <w:pPr>
              <w:autoSpaceDE w:val="0"/>
              <w:autoSpaceDN w:val="0"/>
              <w:adjustRightInd w:val="0"/>
              <w:jc w:val="both"/>
              <w:rPr>
                <w:rFonts w:cs="AdvP868E"/>
                <w:b/>
                <w:color w:val="0D0D0D" w:themeColor="text1" w:themeTint="F2"/>
                <w:sz w:val="24"/>
                <w:szCs w:val="24"/>
              </w:rPr>
            </w:pPr>
            <w:proofErr w:type="spellStart"/>
            <w:r w:rsidRPr="00553AE1">
              <w:rPr>
                <w:rFonts w:cs="AdvP868E"/>
                <w:b/>
                <w:color w:val="0D0D0D" w:themeColor="text1" w:themeTint="F2"/>
                <w:sz w:val="24"/>
                <w:szCs w:val="24"/>
              </w:rPr>
              <w:lastRenderedPageBreak/>
              <w:t>Finanziam</w:t>
            </w:r>
            <w:proofErr w:type="spellEnd"/>
            <w:r w:rsidRPr="00553AE1">
              <w:rPr>
                <w:rFonts w:cs="AdvP868E"/>
                <w:b/>
                <w:color w:val="0D0D0D" w:themeColor="text1" w:themeTint="F2"/>
                <w:sz w:val="24"/>
                <w:szCs w:val="24"/>
              </w:rPr>
              <w:t xml:space="preserve">. minimo </w:t>
            </w:r>
            <w:proofErr w:type="gramStart"/>
            <w:r w:rsidRPr="00553AE1">
              <w:rPr>
                <w:rFonts w:cs="AdvP868E"/>
                <w:b/>
                <w:color w:val="0D0D0D" w:themeColor="text1" w:themeTint="F2"/>
                <w:sz w:val="24"/>
                <w:szCs w:val="24"/>
              </w:rPr>
              <w:t>e  massimo</w:t>
            </w:r>
            <w:proofErr w:type="gramEnd"/>
          </w:p>
        </w:tc>
        <w:tc>
          <w:tcPr>
            <w:tcW w:w="6372" w:type="dxa"/>
          </w:tcPr>
          <w:p w:rsidR="001709E4" w:rsidRPr="00553AE1" w:rsidRDefault="001709E4" w:rsidP="00823E9D">
            <w:pPr>
              <w:autoSpaceDE w:val="0"/>
              <w:autoSpaceDN w:val="0"/>
              <w:adjustRightInd w:val="0"/>
              <w:jc w:val="both"/>
              <w:rPr>
                <w:rFonts w:cs="AdvP868E"/>
                <w:color w:val="0D0D0D" w:themeColor="text1" w:themeTint="F2"/>
                <w:sz w:val="24"/>
                <w:szCs w:val="24"/>
              </w:rPr>
            </w:pPr>
            <w:r w:rsidRPr="00553AE1">
              <w:rPr>
                <w:sz w:val="24"/>
                <w:szCs w:val="24"/>
              </w:rPr>
              <w:t>Da minimo di 50.000,00 eu</w:t>
            </w:r>
            <w:r w:rsidR="00823E9D" w:rsidRPr="00553AE1">
              <w:rPr>
                <w:sz w:val="24"/>
                <w:szCs w:val="24"/>
              </w:rPr>
              <w:t>ro a un massimo di 2.500.000,</w:t>
            </w:r>
            <w:proofErr w:type="gramStart"/>
            <w:r w:rsidR="00823E9D" w:rsidRPr="00553AE1">
              <w:rPr>
                <w:sz w:val="24"/>
                <w:szCs w:val="24"/>
              </w:rPr>
              <w:t>00  25</w:t>
            </w:r>
            <w:proofErr w:type="gramEnd"/>
            <w:r w:rsidR="00823E9D" w:rsidRPr="00553AE1">
              <w:rPr>
                <w:sz w:val="24"/>
                <w:szCs w:val="24"/>
              </w:rPr>
              <w:t>% dei ricavi).</w:t>
            </w:r>
          </w:p>
        </w:tc>
      </w:tr>
      <w:tr w:rsidR="001709E4" w:rsidRPr="00553AE1" w:rsidTr="00D52001">
        <w:tc>
          <w:tcPr>
            <w:tcW w:w="3256" w:type="dxa"/>
          </w:tcPr>
          <w:p w:rsidR="001709E4" w:rsidRPr="00553AE1" w:rsidRDefault="001709E4"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Garanzia </w:t>
            </w:r>
          </w:p>
        </w:tc>
        <w:tc>
          <w:tcPr>
            <w:tcW w:w="6372" w:type="dxa"/>
          </w:tcPr>
          <w:p w:rsidR="001709E4" w:rsidRPr="00553AE1" w:rsidRDefault="001709E4"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La misura è stabilita dallo “scoring”</w:t>
            </w:r>
          </w:p>
        </w:tc>
      </w:tr>
      <w:tr w:rsidR="001709E4" w:rsidRPr="00553AE1" w:rsidTr="00D52001">
        <w:tc>
          <w:tcPr>
            <w:tcW w:w="3256" w:type="dxa"/>
          </w:tcPr>
          <w:p w:rsidR="001709E4" w:rsidRPr="00553AE1" w:rsidRDefault="001709E4"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Rimborso </w:t>
            </w:r>
          </w:p>
        </w:tc>
        <w:tc>
          <w:tcPr>
            <w:tcW w:w="6372" w:type="dxa"/>
          </w:tcPr>
          <w:p w:rsidR="001709E4" w:rsidRPr="00553AE1" w:rsidRDefault="001709E4"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Rate semestrali</w:t>
            </w:r>
          </w:p>
        </w:tc>
      </w:tr>
      <w:tr w:rsidR="001709E4" w:rsidRPr="00553AE1" w:rsidTr="00D52001">
        <w:tc>
          <w:tcPr>
            <w:tcW w:w="3256" w:type="dxa"/>
          </w:tcPr>
          <w:p w:rsidR="001709E4" w:rsidRPr="00553AE1" w:rsidRDefault="001709E4"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De </w:t>
            </w:r>
            <w:proofErr w:type="spellStart"/>
            <w:r w:rsidRPr="00553AE1">
              <w:rPr>
                <w:rFonts w:cs="AdvP868E"/>
                <w:b/>
                <w:color w:val="0D0D0D" w:themeColor="text1" w:themeTint="F2"/>
                <w:sz w:val="24"/>
                <w:szCs w:val="24"/>
              </w:rPr>
              <w:t>minimis</w:t>
            </w:r>
            <w:proofErr w:type="spellEnd"/>
            <w:r w:rsidRPr="00553AE1">
              <w:rPr>
                <w:rFonts w:cs="AdvP868E"/>
                <w:b/>
                <w:color w:val="0D0D0D" w:themeColor="text1" w:themeTint="F2"/>
                <w:sz w:val="24"/>
                <w:szCs w:val="24"/>
              </w:rPr>
              <w:t xml:space="preserve"> </w:t>
            </w:r>
          </w:p>
        </w:tc>
        <w:tc>
          <w:tcPr>
            <w:tcW w:w="6372" w:type="dxa"/>
          </w:tcPr>
          <w:p w:rsidR="001709E4" w:rsidRPr="00553AE1" w:rsidRDefault="001709E4"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 xml:space="preserve">Gli interventi prevedono il regime “de </w:t>
            </w:r>
            <w:proofErr w:type="spellStart"/>
            <w:r w:rsidRPr="00553AE1">
              <w:rPr>
                <w:rFonts w:cs="AdvP868E"/>
                <w:color w:val="0D0D0D" w:themeColor="text1" w:themeTint="F2"/>
                <w:sz w:val="24"/>
                <w:szCs w:val="24"/>
              </w:rPr>
              <w:t>minimis</w:t>
            </w:r>
            <w:proofErr w:type="spellEnd"/>
            <w:r w:rsidRPr="00553AE1">
              <w:rPr>
                <w:rFonts w:cs="AdvP868E"/>
                <w:color w:val="0D0D0D" w:themeColor="text1" w:themeTint="F2"/>
                <w:sz w:val="24"/>
                <w:szCs w:val="24"/>
              </w:rPr>
              <w:t>”</w:t>
            </w:r>
          </w:p>
        </w:tc>
      </w:tr>
      <w:tr w:rsidR="001709E4" w:rsidRPr="00553AE1" w:rsidTr="00D52001">
        <w:tc>
          <w:tcPr>
            <w:tcW w:w="3256" w:type="dxa"/>
          </w:tcPr>
          <w:p w:rsidR="001709E4" w:rsidRPr="00553AE1" w:rsidRDefault="001709E4"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Erogazione </w:t>
            </w:r>
          </w:p>
        </w:tc>
        <w:tc>
          <w:tcPr>
            <w:tcW w:w="6372" w:type="dxa"/>
          </w:tcPr>
          <w:p w:rsidR="001709E4" w:rsidRPr="00553AE1" w:rsidRDefault="001709E4"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Il 50% a titolo di anticipo ed il saldo a fronte di rendicontazione</w:t>
            </w:r>
            <w:r w:rsidR="00823E9D" w:rsidRPr="00553AE1">
              <w:rPr>
                <w:rFonts w:cs="AdvP868E"/>
                <w:color w:val="0D0D0D" w:themeColor="text1" w:themeTint="F2"/>
                <w:sz w:val="24"/>
                <w:szCs w:val="24"/>
              </w:rPr>
              <w:t>.</w:t>
            </w:r>
          </w:p>
          <w:p w:rsidR="00823E9D" w:rsidRPr="00553AE1" w:rsidRDefault="00823E9D" w:rsidP="00D52001">
            <w:pPr>
              <w:autoSpaceDE w:val="0"/>
              <w:autoSpaceDN w:val="0"/>
              <w:adjustRightInd w:val="0"/>
              <w:jc w:val="both"/>
              <w:rPr>
                <w:rFonts w:cs="AdvP868E"/>
                <w:color w:val="0D0D0D" w:themeColor="text1" w:themeTint="F2"/>
                <w:sz w:val="24"/>
                <w:szCs w:val="24"/>
              </w:rPr>
            </w:pPr>
            <w:r w:rsidRPr="00553AE1">
              <w:rPr>
                <w:sz w:val="24"/>
                <w:szCs w:val="24"/>
              </w:rPr>
              <w:t>Il termine ultimo per l’erogazione è di 29 mesi dal perfezionamento del contratto.</w:t>
            </w:r>
          </w:p>
        </w:tc>
      </w:tr>
      <w:tr w:rsidR="001709E4" w:rsidRPr="00553AE1" w:rsidTr="00D52001">
        <w:tc>
          <w:tcPr>
            <w:tcW w:w="3256" w:type="dxa"/>
          </w:tcPr>
          <w:p w:rsidR="001709E4" w:rsidRPr="00553AE1" w:rsidRDefault="001709E4"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Tasso </w:t>
            </w:r>
          </w:p>
        </w:tc>
        <w:tc>
          <w:tcPr>
            <w:tcW w:w="6372" w:type="dxa"/>
          </w:tcPr>
          <w:p w:rsidR="001709E4" w:rsidRPr="00553AE1" w:rsidRDefault="001709E4" w:rsidP="00D52001">
            <w:pPr>
              <w:autoSpaceDE w:val="0"/>
              <w:autoSpaceDN w:val="0"/>
              <w:adjustRightInd w:val="0"/>
              <w:jc w:val="both"/>
              <w:rPr>
                <w:rFonts w:cs="AdvP868E"/>
                <w:color w:val="0D0D0D" w:themeColor="text1" w:themeTint="F2"/>
                <w:sz w:val="24"/>
                <w:szCs w:val="24"/>
              </w:rPr>
            </w:pPr>
            <w:r w:rsidRPr="00553AE1">
              <w:rPr>
                <w:rStyle w:val="Enfasicorsivo"/>
                <w:rFonts w:cs="Arial"/>
                <w:i w:val="0"/>
                <w:color w:val="000000" w:themeColor="text1"/>
                <w:sz w:val="24"/>
                <w:szCs w:val="24"/>
              </w:rPr>
              <w:t>Tasso pari al 10% del tasso di riferimento UE</w:t>
            </w:r>
            <w:r w:rsidRPr="00553AE1">
              <w:rPr>
                <w:rStyle w:val="Enfasicorsivo"/>
                <w:rFonts w:ascii="Arial" w:hAnsi="Arial" w:cs="Arial"/>
                <w:color w:val="000000" w:themeColor="text1"/>
                <w:sz w:val="24"/>
                <w:szCs w:val="24"/>
              </w:rPr>
              <w:t xml:space="preserve"> </w:t>
            </w:r>
            <w:r w:rsidRPr="00553AE1">
              <w:rPr>
                <w:rStyle w:val="Enfasicorsivo"/>
                <w:rFonts w:ascii="Arial" w:hAnsi="Arial" w:cs="Arial"/>
                <w:color w:val="666666"/>
                <w:sz w:val="24"/>
                <w:szCs w:val="24"/>
              </w:rPr>
              <w:t>(</w:t>
            </w:r>
            <w:r w:rsidRPr="00553AE1">
              <w:rPr>
                <w:rFonts w:cs="AdvP868E"/>
                <w:color w:val="0D0D0D" w:themeColor="text1" w:themeTint="F2"/>
                <w:sz w:val="24"/>
                <w:szCs w:val="24"/>
              </w:rPr>
              <w:t>Attualmente 0,087%)</w:t>
            </w:r>
          </w:p>
        </w:tc>
      </w:tr>
      <w:tr w:rsidR="001709E4" w:rsidRPr="00553AE1" w:rsidTr="00D52001">
        <w:tc>
          <w:tcPr>
            <w:tcW w:w="3256" w:type="dxa"/>
          </w:tcPr>
          <w:p w:rsidR="001709E4" w:rsidRPr="00553AE1" w:rsidRDefault="001709E4"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Indebitamento </w:t>
            </w:r>
          </w:p>
        </w:tc>
        <w:tc>
          <w:tcPr>
            <w:tcW w:w="6372" w:type="dxa"/>
          </w:tcPr>
          <w:p w:rsidR="001709E4" w:rsidRPr="00553AE1" w:rsidRDefault="001709E4"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 xml:space="preserve">Non </w:t>
            </w:r>
            <w:proofErr w:type="gramStart"/>
            <w:r w:rsidRPr="00553AE1">
              <w:rPr>
                <w:rFonts w:cs="AdvP868E"/>
                <w:color w:val="0D0D0D" w:themeColor="text1" w:themeTint="F2"/>
                <w:sz w:val="24"/>
                <w:szCs w:val="24"/>
              </w:rPr>
              <w:t>è  prevista</w:t>
            </w:r>
            <w:proofErr w:type="gramEnd"/>
            <w:r w:rsidRPr="00553AE1">
              <w:rPr>
                <w:rFonts w:cs="AdvP868E"/>
                <w:color w:val="0D0D0D" w:themeColor="text1" w:themeTint="F2"/>
                <w:sz w:val="24"/>
                <w:szCs w:val="24"/>
              </w:rPr>
              <w:t xml:space="preserve"> segnalazione in centrale rischi</w:t>
            </w:r>
          </w:p>
        </w:tc>
      </w:tr>
      <w:tr w:rsidR="001709E4" w:rsidRPr="00553AE1" w:rsidTr="00D52001">
        <w:tc>
          <w:tcPr>
            <w:tcW w:w="3256" w:type="dxa"/>
          </w:tcPr>
          <w:p w:rsidR="001709E4" w:rsidRPr="00553AE1" w:rsidRDefault="001709E4"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Quota forfettaria</w:t>
            </w:r>
          </w:p>
        </w:tc>
        <w:tc>
          <w:tcPr>
            <w:tcW w:w="6372" w:type="dxa"/>
          </w:tcPr>
          <w:p w:rsidR="001709E4" w:rsidRPr="00553AE1" w:rsidRDefault="001709E4"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Riconosciuto un 20% di finanziamento da non rendicontare</w:t>
            </w:r>
          </w:p>
        </w:tc>
      </w:tr>
    </w:tbl>
    <w:p w:rsidR="001709E4" w:rsidRPr="00553AE1" w:rsidRDefault="001709E4" w:rsidP="001709E4">
      <w:pPr>
        <w:autoSpaceDE w:val="0"/>
        <w:autoSpaceDN w:val="0"/>
        <w:adjustRightInd w:val="0"/>
        <w:spacing w:after="0" w:line="240" w:lineRule="auto"/>
        <w:rPr>
          <w:rFonts w:cs="AdvP868E"/>
          <w:color w:val="0D0D0D" w:themeColor="text1" w:themeTint="F2"/>
          <w:sz w:val="24"/>
          <w:szCs w:val="24"/>
        </w:rPr>
      </w:pPr>
    </w:p>
    <w:p w:rsidR="001709E4" w:rsidRPr="00553AE1" w:rsidRDefault="001709E4" w:rsidP="001709E4">
      <w:pPr>
        <w:autoSpaceDE w:val="0"/>
        <w:autoSpaceDN w:val="0"/>
        <w:adjustRightInd w:val="0"/>
        <w:spacing w:after="0" w:line="240" w:lineRule="auto"/>
        <w:rPr>
          <w:rFonts w:cs="AdvP868E"/>
          <w:color w:val="0D0D0D" w:themeColor="text1" w:themeTint="F2"/>
          <w:sz w:val="24"/>
          <w:szCs w:val="24"/>
        </w:rPr>
      </w:pPr>
    </w:p>
    <w:p w:rsidR="00EA60ED" w:rsidRDefault="00EA60ED">
      <w:pPr>
        <w:rPr>
          <w:rFonts w:cs="AdvP868E"/>
          <w:color w:val="0D0D0D" w:themeColor="text1" w:themeTint="F2"/>
          <w:sz w:val="24"/>
          <w:szCs w:val="24"/>
        </w:rPr>
      </w:pPr>
      <w:r>
        <w:rPr>
          <w:rFonts w:cs="AdvP868E"/>
          <w:color w:val="0D0D0D" w:themeColor="text1" w:themeTint="F2"/>
          <w:sz w:val="24"/>
          <w:szCs w:val="24"/>
        </w:rPr>
        <w:br w:type="page"/>
      </w:r>
    </w:p>
    <w:p w:rsidR="00D06C38" w:rsidRPr="00D06C38" w:rsidRDefault="00D06C38" w:rsidP="00D06C38">
      <w:pPr>
        <w:widowControl w:val="0"/>
        <w:pBdr>
          <w:top w:val="single" w:sz="4" w:space="1" w:color="auto"/>
          <w:left w:val="single" w:sz="4" w:space="4" w:color="auto"/>
          <w:bottom w:val="single" w:sz="4" w:space="1" w:color="auto"/>
          <w:right w:val="single" w:sz="4" w:space="4" w:color="auto"/>
        </w:pBdr>
        <w:spacing w:before="5" w:after="0" w:line="240" w:lineRule="auto"/>
        <w:jc w:val="center"/>
        <w:rPr>
          <w:rFonts w:eastAsia="Calibri" w:cs="Calibri"/>
          <w:b/>
          <w:bCs/>
          <w:color w:val="0D0D0D" w:themeColor="text1" w:themeTint="F2"/>
          <w:sz w:val="32"/>
          <w:szCs w:val="32"/>
        </w:rPr>
      </w:pPr>
      <w:r w:rsidRPr="00D06C38">
        <w:rPr>
          <w:rFonts w:eastAsia="Calibri" w:cs="Calibri"/>
          <w:b/>
          <w:bCs/>
          <w:color w:val="0D0D0D" w:themeColor="text1" w:themeTint="F2"/>
          <w:sz w:val="32"/>
          <w:szCs w:val="32"/>
        </w:rPr>
        <w:lastRenderedPageBreak/>
        <w:t>INTERNAZIONALIZZAZIONE</w:t>
      </w:r>
      <w:r>
        <w:rPr>
          <w:rFonts w:eastAsia="Calibri" w:cs="Calibri"/>
          <w:b/>
          <w:bCs/>
          <w:color w:val="0D0D0D" w:themeColor="text1" w:themeTint="F2"/>
          <w:sz w:val="32"/>
          <w:szCs w:val="32"/>
        </w:rPr>
        <w:t>:</w:t>
      </w:r>
    </w:p>
    <w:p w:rsidR="00D06C38" w:rsidRPr="00D06C38" w:rsidRDefault="00D06C38" w:rsidP="00D06C38">
      <w:pPr>
        <w:widowControl w:val="0"/>
        <w:pBdr>
          <w:top w:val="single" w:sz="4" w:space="1" w:color="auto"/>
          <w:left w:val="single" w:sz="4" w:space="4" w:color="auto"/>
          <w:bottom w:val="single" w:sz="4" w:space="1" w:color="auto"/>
          <w:right w:val="single" w:sz="4" w:space="4" w:color="auto"/>
        </w:pBdr>
        <w:spacing w:before="5" w:after="0" w:line="240" w:lineRule="auto"/>
        <w:jc w:val="center"/>
        <w:rPr>
          <w:rFonts w:eastAsia="Calibri" w:cs="Calibri"/>
          <w:b/>
          <w:bCs/>
          <w:color w:val="0D0D0D" w:themeColor="text1" w:themeTint="F2"/>
          <w:sz w:val="32"/>
          <w:szCs w:val="32"/>
        </w:rPr>
      </w:pPr>
      <w:r>
        <w:rPr>
          <w:rFonts w:eastAsia="Calibri" w:cs="Calibri"/>
          <w:b/>
          <w:bCs/>
          <w:color w:val="0D0D0D" w:themeColor="text1" w:themeTint="F2"/>
          <w:sz w:val="32"/>
          <w:szCs w:val="32"/>
        </w:rPr>
        <w:t>PATRIMONIALIZZAZIONE</w:t>
      </w:r>
    </w:p>
    <w:p w:rsidR="00D06C38" w:rsidRPr="00DD6469" w:rsidRDefault="00D06C38" w:rsidP="00D06C38">
      <w:pPr>
        <w:widowControl w:val="0"/>
        <w:spacing w:before="85" w:after="0" w:line="240" w:lineRule="auto"/>
        <w:ind w:right="260"/>
        <w:rPr>
          <w:rFonts w:eastAsia="Calibri" w:cs="Calibri"/>
          <w:b/>
          <w:bCs/>
          <w:color w:val="0D0D0D" w:themeColor="text1" w:themeTint="F2"/>
        </w:rPr>
      </w:pPr>
    </w:p>
    <w:p w:rsidR="00D65C73" w:rsidRPr="00553AE1" w:rsidRDefault="00D65C73" w:rsidP="00D65C73">
      <w:pPr>
        <w:autoSpaceDE w:val="0"/>
        <w:autoSpaceDN w:val="0"/>
        <w:adjustRightInd w:val="0"/>
        <w:spacing w:after="0" w:line="240" w:lineRule="auto"/>
        <w:jc w:val="both"/>
        <w:rPr>
          <w:rFonts w:cs="AdvP868E"/>
          <w:color w:val="0D0D0D" w:themeColor="text1" w:themeTint="F2"/>
          <w:sz w:val="24"/>
          <w:szCs w:val="24"/>
        </w:rPr>
      </w:pPr>
    </w:p>
    <w:tbl>
      <w:tblPr>
        <w:tblStyle w:val="Grigliatabella"/>
        <w:tblW w:w="0" w:type="auto"/>
        <w:tblLook w:val="04A0" w:firstRow="1" w:lastRow="0" w:firstColumn="1" w:lastColumn="0" w:noHBand="0" w:noVBand="1"/>
      </w:tblPr>
      <w:tblGrid>
        <w:gridCol w:w="3256"/>
        <w:gridCol w:w="6372"/>
      </w:tblGrid>
      <w:tr w:rsidR="00D65C73" w:rsidRPr="00553AE1" w:rsidTr="00D52001">
        <w:tc>
          <w:tcPr>
            <w:tcW w:w="3256" w:type="dxa"/>
          </w:tcPr>
          <w:p w:rsidR="00D65C73" w:rsidRPr="00553AE1" w:rsidRDefault="00D65C73"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Beneficiari </w:t>
            </w:r>
          </w:p>
        </w:tc>
        <w:tc>
          <w:tcPr>
            <w:tcW w:w="6372" w:type="dxa"/>
          </w:tcPr>
          <w:p w:rsidR="00D65C73" w:rsidRPr="00553AE1" w:rsidRDefault="00D65C73" w:rsidP="00D52001">
            <w:pPr>
              <w:autoSpaceDE w:val="0"/>
              <w:autoSpaceDN w:val="0"/>
              <w:adjustRightInd w:val="0"/>
              <w:jc w:val="both"/>
              <w:rPr>
                <w:rFonts w:cs="AdvP868E"/>
                <w:color w:val="0D0D0D" w:themeColor="text1" w:themeTint="F2"/>
                <w:sz w:val="24"/>
                <w:szCs w:val="24"/>
              </w:rPr>
            </w:pPr>
            <w:proofErr w:type="spellStart"/>
            <w:r w:rsidRPr="00553AE1">
              <w:rPr>
                <w:rFonts w:cs="AdvP868E"/>
                <w:color w:val="0D0D0D" w:themeColor="text1" w:themeTint="F2"/>
                <w:sz w:val="24"/>
                <w:szCs w:val="24"/>
              </w:rPr>
              <w:t>Pmi</w:t>
            </w:r>
            <w:proofErr w:type="spellEnd"/>
            <w:r w:rsidRPr="00553AE1">
              <w:rPr>
                <w:rFonts w:cs="AdvP868E"/>
                <w:color w:val="0D0D0D" w:themeColor="text1" w:themeTint="F2"/>
                <w:sz w:val="24"/>
                <w:szCs w:val="24"/>
              </w:rPr>
              <w:t xml:space="preserve"> </w:t>
            </w:r>
          </w:p>
        </w:tc>
      </w:tr>
      <w:tr w:rsidR="00D65C73" w:rsidRPr="00553AE1" w:rsidTr="00D52001">
        <w:tc>
          <w:tcPr>
            <w:tcW w:w="3256" w:type="dxa"/>
          </w:tcPr>
          <w:p w:rsidR="00D65C73" w:rsidRPr="00553AE1" w:rsidRDefault="00D65C73"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Oggetto  </w:t>
            </w:r>
          </w:p>
        </w:tc>
        <w:tc>
          <w:tcPr>
            <w:tcW w:w="6372" w:type="dxa"/>
          </w:tcPr>
          <w:p w:rsidR="00D65C73" w:rsidRPr="00553AE1" w:rsidRDefault="00D65C73" w:rsidP="00D52001">
            <w:pPr>
              <w:autoSpaceDE w:val="0"/>
              <w:autoSpaceDN w:val="0"/>
              <w:adjustRightInd w:val="0"/>
              <w:jc w:val="both"/>
              <w:rPr>
                <w:rFonts w:cs="AdvP868E"/>
                <w:color w:val="0D0D0D" w:themeColor="text1" w:themeTint="F2"/>
                <w:sz w:val="24"/>
                <w:szCs w:val="24"/>
              </w:rPr>
            </w:pPr>
            <w:r w:rsidRPr="00553AE1">
              <w:rPr>
                <w:sz w:val="24"/>
                <w:szCs w:val="24"/>
              </w:rPr>
              <w:t>rafforzare la solidità patrimoniale delle PMI italiane esportatrici, favorendone la competitività sui mercati esteri.</w:t>
            </w:r>
          </w:p>
        </w:tc>
      </w:tr>
      <w:tr w:rsidR="00D65C73" w:rsidRPr="00553AE1" w:rsidTr="00D52001">
        <w:tc>
          <w:tcPr>
            <w:tcW w:w="3256" w:type="dxa"/>
          </w:tcPr>
          <w:p w:rsidR="00D65C73" w:rsidRPr="00553AE1" w:rsidRDefault="00D65C73"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Requisiti </w:t>
            </w:r>
          </w:p>
        </w:tc>
        <w:tc>
          <w:tcPr>
            <w:tcW w:w="6372" w:type="dxa"/>
          </w:tcPr>
          <w:p w:rsidR="00D65C73" w:rsidRPr="00553AE1" w:rsidRDefault="00D65C73" w:rsidP="00D52001">
            <w:pPr>
              <w:autoSpaceDE w:val="0"/>
              <w:autoSpaceDN w:val="0"/>
              <w:adjustRightInd w:val="0"/>
              <w:jc w:val="both"/>
              <w:rPr>
                <w:sz w:val="24"/>
                <w:szCs w:val="24"/>
              </w:rPr>
            </w:pPr>
            <w:proofErr w:type="spellStart"/>
            <w:r w:rsidRPr="00553AE1">
              <w:rPr>
                <w:sz w:val="24"/>
                <w:szCs w:val="24"/>
              </w:rPr>
              <w:t>Pmi</w:t>
            </w:r>
            <w:proofErr w:type="spellEnd"/>
          </w:p>
          <w:p w:rsidR="00D65C73" w:rsidRPr="00553AE1" w:rsidRDefault="00D65C73" w:rsidP="00D52001">
            <w:pPr>
              <w:autoSpaceDE w:val="0"/>
              <w:autoSpaceDN w:val="0"/>
              <w:adjustRightInd w:val="0"/>
              <w:jc w:val="both"/>
              <w:rPr>
                <w:sz w:val="24"/>
                <w:szCs w:val="24"/>
              </w:rPr>
            </w:pPr>
            <w:r w:rsidRPr="00553AE1">
              <w:rPr>
                <w:sz w:val="24"/>
                <w:szCs w:val="24"/>
              </w:rPr>
              <w:t>Società di capitali</w:t>
            </w:r>
          </w:p>
          <w:p w:rsidR="00D65C73" w:rsidRPr="00553AE1" w:rsidRDefault="00D65C73" w:rsidP="00D52001">
            <w:pPr>
              <w:autoSpaceDE w:val="0"/>
              <w:autoSpaceDN w:val="0"/>
              <w:adjustRightInd w:val="0"/>
              <w:jc w:val="both"/>
              <w:rPr>
                <w:sz w:val="24"/>
                <w:szCs w:val="24"/>
              </w:rPr>
            </w:pPr>
            <w:r w:rsidRPr="00553AE1">
              <w:rPr>
                <w:sz w:val="24"/>
                <w:szCs w:val="24"/>
              </w:rPr>
              <w:t>Fatturato export pari al 35% sul totale</w:t>
            </w:r>
          </w:p>
        </w:tc>
      </w:tr>
      <w:tr w:rsidR="002C66E8" w:rsidRPr="00553AE1" w:rsidTr="00D52001">
        <w:tc>
          <w:tcPr>
            <w:tcW w:w="3256" w:type="dxa"/>
          </w:tcPr>
          <w:p w:rsidR="002C66E8" w:rsidRPr="00553AE1" w:rsidRDefault="002C66E8"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Finalità investimento</w:t>
            </w:r>
          </w:p>
        </w:tc>
        <w:tc>
          <w:tcPr>
            <w:tcW w:w="6372" w:type="dxa"/>
          </w:tcPr>
          <w:p w:rsidR="002C66E8" w:rsidRPr="00553AE1" w:rsidRDefault="002C66E8" w:rsidP="00D52001">
            <w:pPr>
              <w:autoSpaceDE w:val="0"/>
              <w:autoSpaceDN w:val="0"/>
              <w:adjustRightInd w:val="0"/>
              <w:jc w:val="both"/>
              <w:rPr>
                <w:sz w:val="24"/>
                <w:szCs w:val="24"/>
              </w:rPr>
            </w:pPr>
            <w:r w:rsidRPr="00553AE1">
              <w:rPr>
                <w:sz w:val="24"/>
                <w:szCs w:val="24"/>
              </w:rPr>
              <w:t>Non previsto. Può essere indirizzato su qualsiasi tipo di spesa</w:t>
            </w:r>
          </w:p>
        </w:tc>
      </w:tr>
      <w:tr w:rsidR="00D65C73" w:rsidRPr="00553AE1" w:rsidTr="00D52001">
        <w:tc>
          <w:tcPr>
            <w:tcW w:w="3256" w:type="dxa"/>
          </w:tcPr>
          <w:p w:rsidR="00D65C73" w:rsidRPr="00553AE1" w:rsidRDefault="002C66E8"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Obiettivo </w:t>
            </w:r>
            <w:r w:rsidR="00D65C73" w:rsidRPr="00553AE1">
              <w:rPr>
                <w:rFonts w:cs="AdvP868E"/>
                <w:b/>
                <w:color w:val="0D0D0D" w:themeColor="text1" w:themeTint="F2"/>
                <w:sz w:val="24"/>
                <w:szCs w:val="24"/>
              </w:rPr>
              <w:t xml:space="preserve"> </w:t>
            </w:r>
          </w:p>
        </w:tc>
        <w:tc>
          <w:tcPr>
            <w:tcW w:w="6372" w:type="dxa"/>
          </w:tcPr>
          <w:p w:rsidR="00D65C73" w:rsidRPr="00553AE1" w:rsidRDefault="002C66E8" w:rsidP="00D52001">
            <w:pPr>
              <w:autoSpaceDE w:val="0"/>
              <w:autoSpaceDN w:val="0"/>
              <w:adjustRightInd w:val="0"/>
              <w:jc w:val="both"/>
              <w:rPr>
                <w:rFonts w:cs="AdvP868E"/>
                <w:color w:val="0D0D0D" w:themeColor="text1" w:themeTint="F2"/>
                <w:sz w:val="24"/>
                <w:szCs w:val="24"/>
              </w:rPr>
            </w:pPr>
            <w:r w:rsidRPr="00553AE1">
              <w:rPr>
                <w:sz w:val="24"/>
                <w:szCs w:val="24"/>
              </w:rPr>
              <w:t>Per il primo biennio successivo all’erogazione è che il livello di solidità patrimoniale dell’impresa al momento della presentazione della domanda (“livello di ingresso”) venga mantenuto o superato se &gt; al livello “soglia” predefinito dalla circolare o lo raggiunga, se &lt; al livello “soglia”.</w:t>
            </w:r>
          </w:p>
        </w:tc>
      </w:tr>
      <w:tr w:rsidR="00D65C73" w:rsidRPr="00553AE1" w:rsidTr="00D52001">
        <w:tc>
          <w:tcPr>
            <w:tcW w:w="3256" w:type="dxa"/>
          </w:tcPr>
          <w:p w:rsidR="00D65C73" w:rsidRPr="00553AE1" w:rsidRDefault="00D65C73"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Durata </w:t>
            </w:r>
          </w:p>
        </w:tc>
        <w:tc>
          <w:tcPr>
            <w:tcW w:w="6372" w:type="dxa"/>
          </w:tcPr>
          <w:p w:rsidR="00D65C73" w:rsidRPr="00553AE1" w:rsidRDefault="00D65C73" w:rsidP="002C66E8">
            <w:pPr>
              <w:autoSpaceDE w:val="0"/>
              <w:autoSpaceDN w:val="0"/>
              <w:adjustRightInd w:val="0"/>
              <w:jc w:val="both"/>
              <w:rPr>
                <w:rFonts w:cs="AdvP868E"/>
                <w:color w:val="0D0D0D" w:themeColor="text1" w:themeTint="F2"/>
                <w:sz w:val="24"/>
                <w:szCs w:val="24"/>
              </w:rPr>
            </w:pPr>
            <w:r w:rsidRPr="00553AE1">
              <w:rPr>
                <w:sz w:val="24"/>
                <w:szCs w:val="24"/>
              </w:rPr>
              <w:t>2 anni di pre-ammortamento in cui vengono corrisposti i soli interessi al tasso di riferimento con rate semestrali posticipate</w:t>
            </w:r>
            <w:r w:rsidR="002C66E8" w:rsidRPr="00553AE1">
              <w:rPr>
                <w:sz w:val="24"/>
                <w:szCs w:val="24"/>
              </w:rPr>
              <w:t xml:space="preserve"> </w:t>
            </w:r>
            <w:r w:rsidRPr="00553AE1">
              <w:rPr>
                <w:sz w:val="24"/>
                <w:szCs w:val="24"/>
              </w:rPr>
              <w:t>e 4 anni di ammortamento per il rimborso di capitale e interessi</w:t>
            </w:r>
          </w:p>
        </w:tc>
      </w:tr>
      <w:tr w:rsidR="00D65C73" w:rsidRPr="00553AE1" w:rsidTr="00D52001">
        <w:tc>
          <w:tcPr>
            <w:tcW w:w="3256" w:type="dxa"/>
          </w:tcPr>
          <w:p w:rsidR="00D65C73" w:rsidRPr="00553AE1" w:rsidRDefault="00D65C73"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Finanziamento massimo</w:t>
            </w:r>
          </w:p>
        </w:tc>
        <w:tc>
          <w:tcPr>
            <w:tcW w:w="6372" w:type="dxa"/>
          </w:tcPr>
          <w:p w:rsidR="00D65C73" w:rsidRPr="00553AE1" w:rsidRDefault="002C66E8"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pari al 25% del patrimonio netto con un massimale di 400.000 euro</w:t>
            </w:r>
          </w:p>
        </w:tc>
      </w:tr>
      <w:tr w:rsidR="00D65C73" w:rsidRPr="00553AE1" w:rsidTr="00D52001">
        <w:tc>
          <w:tcPr>
            <w:tcW w:w="3256" w:type="dxa"/>
          </w:tcPr>
          <w:p w:rsidR="00D65C73" w:rsidRPr="00553AE1" w:rsidRDefault="00D65C73"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Garanzia </w:t>
            </w:r>
          </w:p>
        </w:tc>
        <w:tc>
          <w:tcPr>
            <w:tcW w:w="6372" w:type="dxa"/>
          </w:tcPr>
          <w:p w:rsidR="00D65C73" w:rsidRPr="00553AE1" w:rsidRDefault="00D65C73"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La misura è stabilita dallo “scoring”</w:t>
            </w:r>
          </w:p>
        </w:tc>
      </w:tr>
      <w:tr w:rsidR="00D65C73" w:rsidRPr="00553AE1" w:rsidTr="00D52001">
        <w:tc>
          <w:tcPr>
            <w:tcW w:w="3256" w:type="dxa"/>
          </w:tcPr>
          <w:p w:rsidR="00D65C73" w:rsidRPr="00553AE1" w:rsidRDefault="00D65C73"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Rimborso </w:t>
            </w:r>
          </w:p>
        </w:tc>
        <w:tc>
          <w:tcPr>
            <w:tcW w:w="6372" w:type="dxa"/>
          </w:tcPr>
          <w:p w:rsidR="00D65C73" w:rsidRPr="00553AE1" w:rsidRDefault="00D65C73"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Rate semestrali</w:t>
            </w:r>
          </w:p>
        </w:tc>
      </w:tr>
      <w:tr w:rsidR="00D65C73" w:rsidRPr="00553AE1" w:rsidTr="00D52001">
        <w:tc>
          <w:tcPr>
            <w:tcW w:w="3256" w:type="dxa"/>
          </w:tcPr>
          <w:p w:rsidR="00D65C73" w:rsidRPr="00553AE1" w:rsidRDefault="00D65C73"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De </w:t>
            </w:r>
            <w:proofErr w:type="spellStart"/>
            <w:r w:rsidRPr="00553AE1">
              <w:rPr>
                <w:rFonts w:cs="AdvP868E"/>
                <w:b/>
                <w:color w:val="0D0D0D" w:themeColor="text1" w:themeTint="F2"/>
                <w:sz w:val="24"/>
                <w:szCs w:val="24"/>
              </w:rPr>
              <w:t>minimis</w:t>
            </w:r>
            <w:proofErr w:type="spellEnd"/>
            <w:r w:rsidRPr="00553AE1">
              <w:rPr>
                <w:rFonts w:cs="AdvP868E"/>
                <w:b/>
                <w:color w:val="0D0D0D" w:themeColor="text1" w:themeTint="F2"/>
                <w:sz w:val="24"/>
                <w:szCs w:val="24"/>
              </w:rPr>
              <w:t xml:space="preserve"> </w:t>
            </w:r>
          </w:p>
        </w:tc>
        <w:tc>
          <w:tcPr>
            <w:tcW w:w="6372" w:type="dxa"/>
          </w:tcPr>
          <w:p w:rsidR="00D65C73" w:rsidRPr="00553AE1" w:rsidRDefault="00D65C73"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 xml:space="preserve">Gli interventi prevedono il regime “de </w:t>
            </w:r>
            <w:proofErr w:type="spellStart"/>
            <w:r w:rsidRPr="00553AE1">
              <w:rPr>
                <w:rFonts w:cs="AdvP868E"/>
                <w:color w:val="0D0D0D" w:themeColor="text1" w:themeTint="F2"/>
                <w:sz w:val="24"/>
                <w:szCs w:val="24"/>
              </w:rPr>
              <w:t>minimis</w:t>
            </w:r>
            <w:proofErr w:type="spellEnd"/>
            <w:r w:rsidRPr="00553AE1">
              <w:rPr>
                <w:rFonts w:cs="AdvP868E"/>
                <w:color w:val="0D0D0D" w:themeColor="text1" w:themeTint="F2"/>
                <w:sz w:val="24"/>
                <w:szCs w:val="24"/>
              </w:rPr>
              <w:t>”</w:t>
            </w:r>
          </w:p>
        </w:tc>
      </w:tr>
      <w:tr w:rsidR="00D65C73" w:rsidRPr="00553AE1" w:rsidTr="00D52001">
        <w:tc>
          <w:tcPr>
            <w:tcW w:w="3256" w:type="dxa"/>
          </w:tcPr>
          <w:p w:rsidR="00D65C73" w:rsidRPr="00553AE1" w:rsidRDefault="00D65C73"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Erogazione </w:t>
            </w:r>
          </w:p>
        </w:tc>
        <w:tc>
          <w:tcPr>
            <w:tcW w:w="6372" w:type="dxa"/>
          </w:tcPr>
          <w:p w:rsidR="00D65C73" w:rsidRPr="00553AE1" w:rsidRDefault="00D65C73"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Unica soluzione sul conto aziendale</w:t>
            </w:r>
          </w:p>
        </w:tc>
      </w:tr>
      <w:tr w:rsidR="00D65C73" w:rsidRPr="00553AE1" w:rsidTr="00D52001">
        <w:tc>
          <w:tcPr>
            <w:tcW w:w="3256" w:type="dxa"/>
          </w:tcPr>
          <w:p w:rsidR="00D65C73" w:rsidRPr="00553AE1" w:rsidRDefault="00D65C73"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Tasso </w:t>
            </w:r>
          </w:p>
        </w:tc>
        <w:tc>
          <w:tcPr>
            <w:tcW w:w="6372" w:type="dxa"/>
          </w:tcPr>
          <w:p w:rsidR="00D65C73" w:rsidRPr="00553AE1" w:rsidRDefault="00D65C73" w:rsidP="00D52001">
            <w:pPr>
              <w:autoSpaceDE w:val="0"/>
              <w:autoSpaceDN w:val="0"/>
              <w:adjustRightInd w:val="0"/>
              <w:jc w:val="both"/>
              <w:rPr>
                <w:rFonts w:cs="AdvP868E"/>
                <w:color w:val="0D0D0D" w:themeColor="text1" w:themeTint="F2"/>
                <w:sz w:val="24"/>
                <w:szCs w:val="24"/>
              </w:rPr>
            </w:pPr>
            <w:r w:rsidRPr="00553AE1">
              <w:rPr>
                <w:rStyle w:val="Enfasicorsivo"/>
                <w:rFonts w:cs="Arial"/>
                <w:i w:val="0"/>
                <w:color w:val="000000" w:themeColor="text1"/>
                <w:sz w:val="24"/>
                <w:szCs w:val="24"/>
              </w:rPr>
              <w:t>Tasso pari al 10% del tasso di riferimento UE</w:t>
            </w:r>
            <w:r w:rsidRPr="00553AE1">
              <w:rPr>
                <w:rStyle w:val="Enfasicorsivo"/>
                <w:rFonts w:ascii="Arial" w:hAnsi="Arial" w:cs="Arial"/>
                <w:color w:val="000000" w:themeColor="text1"/>
                <w:sz w:val="24"/>
                <w:szCs w:val="24"/>
              </w:rPr>
              <w:t xml:space="preserve"> </w:t>
            </w:r>
            <w:r w:rsidRPr="00553AE1">
              <w:rPr>
                <w:rStyle w:val="Enfasicorsivo"/>
                <w:rFonts w:ascii="Arial" w:hAnsi="Arial" w:cs="Arial"/>
                <w:color w:val="666666"/>
                <w:sz w:val="24"/>
                <w:szCs w:val="24"/>
              </w:rPr>
              <w:t>(</w:t>
            </w:r>
            <w:r w:rsidRPr="00553AE1">
              <w:rPr>
                <w:rFonts w:cs="AdvP868E"/>
                <w:color w:val="0D0D0D" w:themeColor="text1" w:themeTint="F2"/>
                <w:sz w:val="24"/>
                <w:szCs w:val="24"/>
              </w:rPr>
              <w:t>Attualmente 0,087%)</w:t>
            </w:r>
          </w:p>
        </w:tc>
      </w:tr>
      <w:tr w:rsidR="00D65C73" w:rsidRPr="00553AE1" w:rsidTr="00D52001">
        <w:tc>
          <w:tcPr>
            <w:tcW w:w="3256" w:type="dxa"/>
          </w:tcPr>
          <w:p w:rsidR="00D65C73" w:rsidRPr="00553AE1" w:rsidRDefault="00D65C73"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Indebitamento </w:t>
            </w:r>
          </w:p>
        </w:tc>
        <w:tc>
          <w:tcPr>
            <w:tcW w:w="6372" w:type="dxa"/>
          </w:tcPr>
          <w:p w:rsidR="00D65C73" w:rsidRPr="00553AE1" w:rsidRDefault="00D65C73"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 xml:space="preserve"> Non </w:t>
            </w:r>
            <w:proofErr w:type="gramStart"/>
            <w:r w:rsidRPr="00553AE1">
              <w:rPr>
                <w:rFonts w:cs="AdvP868E"/>
                <w:color w:val="0D0D0D" w:themeColor="text1" w:themeTint="F2"/>
                <w:sz w:val="24"/>
                <w:szCs w:val="24"/>
              </w:rPr>
              <w:t>è  prevista</w:t>
            </w:r>
            <w:proofErr w:type="gramEnd"/>
            <w:r w:rsidRPr="00553AE1">
              <w:rPr>
                <w:rFonts w:cs="AdvP868E"/>
                <w:color w:val="0D0D0D" w:themeColor="text1" w:themeTint="F2"/>
                <w:sz w:val="24"/>
                <w:szCs w:val="24"/>
              </w:rPr>
              <w:t xml:space="preserve"> segnalazione in centrale rischi</w:t>
            </w:r>
          </w:p>
        </w:tc>
      </w:tr>
    </w:tbl>
    <w:p w:rsidR="00D65C73" w:rsidRPr="00553AE1" w:rsidRDefault="00D65C73" w:rsidP="00D65C73">
      <w:pPr>
        <w:autoSpaceDE w:val="0"/>
        <w:autoSpaceDN w:val="0"/>
        <w:adjustRightInd w:val="0"/>
        <w:spacing w:after="0" w:line="240" w:lineRule="auto"/>
        <w:rPr>
          <w:rFonts w:cs="AdvP868E"/>
          <w:color w:val="0D0D0D" w:themeColor="text1" w:themeTint="F2"/>
          <w:sz w:val="24"/>
          <w:szCs w:val="24"/>
        </w:rPr>
      </w:pPr>
    </w:p>
    <w:p w:rsidR="00D65C73" w:rsidRPr="00553AE1" w:rsidRDefault="00D65C73" w:rsidP="00D65C73">
      <w:pPr>
        <w:autoSpaceDE w:val="0"/>
        <w:autoSpaceDN w:val="0"/>
        <w:adjustRightInd w:val="0"/>
        <w:spacing w:after="0" w:line="240" w:lineRule="auto"/>
        <w:rPr>
          <w:rFonts w:cs="AdvP868E"/>
          <w:color w:val="0D0D0D" w:themeColor="text1" w:themeTint="F2"/>
          <w:sz w:val="24"/>
          <w:szCs w:val="24"/>
        </w:rPr>
      </w:pPr>
    </w:p>
    <w:p w:rsidR="00D65C73" w:rsidRPr="00553AE1" w:rsidRDefault="00D65C73" w:rsidP="00D65C73">
      <w:pPr>
        <w:autoSpaceDE w:val="0"/>
        <w:autoSpaceDN w:val="0"/>
        <w:adjustRightInd w:val="0"/>
        <w:spacing w:after="0" w:line="240" w:lineRule="auto"/>
        <w:rPr>
          <w:rFonts w:cs="AdvP868E"/>
          <w:color w:val="0D0D0D" w:themeColor="text1" w:themeTint="F2"/>
          <w:sz w:val="24"/>
          <w:szCs w:val="24"/>
        </w:rPr>
      </w:pPr>
    </w:p>
    <w:p w:rsidR="00D65C73" w:rsidRDefault="00D65C73" w:rsidP="00D65C73">
      <w:pPr>
        <w:autoSpaceDE w:val="0"/>
        <w:autoSpaceDN w:val="0"/>
        <w:adjustRightInd w:val="0"/>
        <w:spacing w:after="0" w:line="240" w:lineRule="auto"/>
        <w:rPr>
          <w:rFonts w:cs="AdvP868E"/>
          <w:color w:val="0D0D0D" w:themeColor="text1" w:themeTint="F2"/>
        </w:rPr>
      </w:pPr>
    </w:p>
    <w:p w:rsidR="00EA60ED" w:rsidRDefault="00EA60ED">
      <w:pPr>
        <w:rPr>
          <w:rFonts w:cs="AdvP868E"/>
          <w:color w:val="0D0D0D" w:themeColor="text1" w:themeTint="F2"/>
        </w:rPr>
      </w:pPr>
      <w:r>
        <w:rPr>
          <w:rFonts w:cs="AdvP868E"/>
          <w:color w:val="0D0D0D" w:themeColor="text1" w:themeTint="F2"/>
        </w:rPr>
        <w:br w:type="page"/>
      </w:r>
    </w:p>
    <w:p w:rsidR="00D06C38" w:rsidRPr="00D06C38" w:rsidRDefault="00D06C38" w:rsidP="00D06C38">
      <w:pPr>
        <w:widowControl w:val="0"/>
        <w:pBdr>
          <w:top w:val="single" w:sz="4" w:space="1" w:color="auto"/>
          <w:left w:val="single" w:sz="4" w:space="4" w:color="auto"/>
          <w:bottom w:val="single" w:sz="4" w:space="1" w:color="auto"/>
          <w:right w:val="single" w:sz="4" w:space="4" w:color="auto"/>
        </w:pBdr>
        <w:spacing w:before="5" w:after="0" w:line="240" w:lineRule="auto"/>
        <w:jc w:val="center"/>
        <w:rPr>
          <w:rFonts w:eastAsia="Calibri" w:cs="Calibri"/>
          <w:b/>
          <w:bCs/>
          <w:color w:val="0D0D0D" w:themeColor="text1" w:themeTint="F2"/>
          <w:sz w:val="32"/>
          <w:szCs w:val="32"/>
        </w:rPr>
      </w:pPr>
      <w:r w:rsidRPr="00D06C38">
        <w:rPr>
          <w:rFonts w:eastAsia="Calibri" w:cs="Calibri"/>
          <w:b/>
          <w:bCs/>
          <w:color w:val="0D0D0D" w:themeColor="text1" w:themeTint="F2"/>
          <w:sz w:val="32"/>
          <w:szCs w:val="32"/>
        </w:rPr>
        <w:lastRenderedPageBreak/>
        <w:t>INTERNAZIONALIZZAZIONE</w:t>
      </w:r>
      <w:r>
        <w:rPr>
          <w:rFonts w:eastAsia="Calibri" w:cs="Calibri"/>
          <w:b/>
          <w:bCs/>
          <w:color w:val="0D0D0D" w:themeColor="text1" w:themeTint="F2"/>
          <w:sz w:val="32"/>
          <w:szCs w:val="32"/>
        </w:rPr>
        <w:t>:</w:t>
      </w:r>
    </w:p>
    <w:p w:rsidR="00D06C38" w:rsidRPr="00D06C38" w:rsidRDefault="00553AE1" w:rsidP="00D06C38">
      <w:pPr>
        <w:widowControl w:val="0"/>
        <w:pBdr>
          <w:top w:val="single" w:sz="4" w:space="1" w:color="auto"/>
          <w:left w:val="single" w:sz="4" w:space="4" w:color="auto"/>
          <w:bottom w:val="single" w:sz="4" w:space="1" w:color="auto"/>
          <w:right w:val="single" w:sz="4" w:space="4" w:color="auto"/>
        </w:pBdr>
        <w:spacing w:before="5" w:after="0" w:line="240" w:lineRule="auto"/>
        <w:jc w:val="center"/>
        <w:rPr>
          <w:rFonts w:eastAsia="Calibri" w:cs="Calibri"/>
          <w:b/>
          <w:bCs/>
          <w:color w:val="0D0D0D" w:themeColor="text1" w:themeTint="F2"/>
          <w:sz w:val="32"/>
          <w:szCs w:val="32"/>
        </w:rPr>
      </w:pPr>
      <w:r>
        <w:rPr>
          <w:rFonts w:eastAsia="Calibri" w:cs="Calibri"/>
          <w:b/>
          <w:bCs/>
          <w:color w:val="0D0D0D" w:themeColor="text1" w:themeTint="F2"/>
          <w:sz w:val="32"/>
          <w:szCs w:val="32"/>
        </w:rPr>
        <w:t>FORMAZIONE DEL PERSONALE</w:t>
      </w:r>
    </w:p>
    <w:p w:rsidR="00D06C38" w:rsidRPr="00DD6469" w:rsidRDefault="00D06C38" w:rsidP="00D06C38">
      <w:pPr>
        <w:widowControl w:val="0"/>
        <w:spacing w:before="85" w:after="0" w:line="240" w:lineRule="auto"/>
        <w:ind w:right="260"/>
        <w:rPr>
          <w:rFonts w:eastAsia="Calibri" w:cs="Calibri"/>
          <w:b/>
          <w:bCs/>
          <w:color w:val="0D0D0D" w:themeColor="text1" w:themeTint="F2"/>
        </w:rPr>
      </w:pPr>
    </w:p>
    <w:tbl>
      <w:tblPr>
        <w:tblStyle w:val="Grigliatabella"/>
        <w:tblW w:w="0" w:type="auto"/>
        <w:tblLook w:val="04A0" w:firstRow="1" w:lastRow="0" w:firstColumn="1" w:lastColumn="0" w:noHBand="0" w:noVBand="1"/>
      </w:tblPr>
      <w:tblGrid>
        <w:gridCol w:w="3256"/>
        <w:gridCol w:w="6372"/>
      </w:tblGrid>
      <w:tr w:rsidR="002C66E8" w:rsidRPr="00553AE1" w:rsidTr="00D52001">
        <w:tc>
          <w:tcPr>
            <w:tcW w:w="3256" w:type="dxa"/>
          </w:tcPr>
          <w:p w:rsidR="002C66E8" w:rsidRPr="00553AE1" w:rsidRDefault="002C66E8" w:rsidP="00D52001">
            <w:pPr>
              <w:autoSpaceDE w:val="0"/>
              <w:autoSpaceDN w:val="0"/>
              <w:adjustRightInd w:val="0"/>
              <w:jc w:val="both"/>
              <w:rPr>
                <w:rFonts w:cs="AdvP868E"/>
                <w:b/>
                <w:color w:val="0D0D0D" w:themeColor="text1" w:themeTint="F2"/>
                <w:sz w:val="24"/>
                <w:szCs w:val="24"/>
              </w:rPr>
            </w:pPr>
            <w:bookmarkStart w:id="0" w:name="_GoBack"/>
            <w:bookmarkEnd w:id="0"/>
            <w:r w:rsidRPr="00553AE1">
              <w:rPr>
                <w:rFonts w:cs="AdvP868E"/>
                <w:b/>
                <w:color w:val="0D0D0D" w:themeColor="text1" w:themeTint="F2"/>
                <w:sz w:val="24"/>
                <w:szCs w:val="24"/>
              </w:rPr>
              <w:t xml:space="preserve">Beneficiari </w:t>
            </w:r>
          </w:p>
        </w:tc>
        <w:tc>
          <w:tcPr>
            <w:tcW w:w="6372" w:type="dxa"/>
          </w:tcPr>
          <w:p w:rsidR="002C66E8" w:rsidRPr="00553AE1" w:rsidRDefault="002C66E8" w:rsidP="00D52001">
            <w:pPr>
              <w:autoSpaceDE w:val="0"/>
              <w:autoSpaceDN w:val="0"/>
              <w:adjustRightInd w:val="0"/>
              <w:jc w:val="both"/>
              <w:rPr>
                <w:rFonts w:cs="AdvP868E"/>
                <w:color w:val="0D0D0D" w:themeColor="text1" w:themeTint="F2"/>
                <w:sz w:val="24"/>
                <w:szCs w:val="24"/>
              </w:rPr>
            </w:pPr>
            <w:proofErr w:type="spellStart"/>
            <w:r w:rsidRPr="00553AE1">
              <w:rPr>
                <w:rFonts w:cs="AdvP868E"/>
                <w:color w:val="0D0D0D" w:themeColor="text1" w:themeTint="F2"/>
                <w:sz w:val="24"/>
                <w:szCs w:val="24"/>
              </w:rPr>
              <w:t>Pmi</w:t>
            </w:r>
            <w:proofErr w:type="spellEnd"/>
            <w:r w:rsidRPr="00553AE1">
              <w:rPr>
                <w:rFonts w:cs="AdvP868E"/>
                <w:color w:val="0D0D0D" w:themeColor="text1" w:themeTint="F2"/>
                <w:sz w:val="24"/>
                <w:szCs w:val="24"/>
              </w:rPr>
              <w:t xml:space="preserve"> e G.I.</w:t>
            </w:r>
          </w:p>
        </w:tc>
      </w:tr>
      <w:tr w:rsidR="002C66E8" w:rsidRPr="00553AE1" w:rsidTr="00D52001">
        <w:tc>
          <w:tcPr>
            <w:tcW w:w="3256" w:type="dxa"/>
          </w:tcPr>
          <w:p w:rsidR="002C66E8" w:rsidRPr="00553AE1" w:rsidRDefault="002C66E8"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Oggetto  </w:t>
            </w:r>
          </w:p>
        </w:tc>
        <w:tc>
          <w:tcPr>
            <w:tcW w:w="6372" w:type="dxa"/>
          </w:tcPr>
          <w:p w:rsidR="002C66E8" w:rsidRPr="00553AE1" w:rsidRDefault="002C66E8" w:rsidP="00D52001">
            <w:pPr>
              <w:autoSpaceDE w:val="0"/>
              <w:autoSpaceDN w:val="0"/>
              <w:adjustRightInd w:val="0"/>
              <w:jc w:val="both"/>
              <w:rPr>
                <w:rFonts w:cs="AdvP868E"/>
                <w:color w:val="0D0D0D" w:themeColor="text1" w:themeTint="F2"/>
                <w:sz w:val="24"/>
                <w:szCs w:val="24"/>
              </w:rPr>
            </w:pPr>
            <w:r w:rsidRPr="00553AE1">
              <w:rPr>
                <w:sz w:val="24"/>
                <w:szCs w:val="24"/>
              </w:rPr>
              <w:t>Programma di assistenza tecnica (formazione del personale in loco) dopo la realizzazione dell’investimento, purché non antecedente di 6 mesi alla data di presentazione della domanda.</w:t>
            </w:r>
          </w:p>
        </w:tc>
      </w:tr>
      <w:tr w:rsidR="002C66E8" w:rsidRPr="00553AE1" w:rsidTr="00D52001">
        <w:tc>
          <w:tcPr>
            <w:tcW w:w="3256" w:type="dxa"/>
          </w:tcPr>
          <w:p w:rsidR="002C66E8" w:rsidRPr="00553AE1" w:rsidRDefault="002C66E8"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Spese ammissibili </w:t>
            </w:r>
          </w:p>
        </w:tc>
        <w:tc>
          <w:tcPr>
            <w:tcW w:w="6372" w:type="dxa"/>
          </w:tcPr>
          <w:p w:rsidR="002C66E8" w:rsidRPr="00553AE1" w:rsidRDefault="002C66E8" w:rsidP="00D52001">
            <w:pPr>
              <w:autoSpaceDE w:val="0"/>
              <w:autoSpaceDN w:val="0"/>
              <w:adjustRightInd w:val="0"/>
              <w:jc w:val="both"/>
              <w:rPr>
                <w:rFonts w:cs="AdvP868E"/>
                <w:color w:val="0D0D0D" w:themeColor="text1" w:themeTint="F2"/>
                <w:sz w:val="24"/>
                <w:szCs w:val="24"/>
              </w:rPr>
            </w:pPr>
            <w:r w:rsidRPr="00553AE1">
              <w:rPr>
                <w:bCs/>
                <w:sz w:val="24"/>
                <w:szCs w:val="24"/>
              </w:rPr>
              <w:t>Spese sostenute per la formazione di personale nelle iniziative di investimento in Paesi extra UE</w:t>
            </w:r>
            <w:r w:rsidRPr="00553AE1">
              <w:rPr>
                <w:sz w:val="24"/>
                <w:szCs w:val="24"/>
              </w:rPr>
              <w:t>. Le spese finanziabili riguardano i viaggi, i soggiorni, le indennità di trasferta e le retribuzioni (per il tempo dedicato alla formazione in loco) del personale interno adibito all’iniziativa, nonché i compensi, i viaggi e i soggiorni del personale esterno eventualmente incaricato con apposito contratto di collaborare alla realizzazione del programma.</w:t>
            </w:r>
          </w:p>
        </w:tc>
      </w:tr>
      <w:tr w:rsidR="002C66E8" w:rsidRPr="00553AE1" w:rsidTr="00D52001">
        <w:tc>
          <w:tcPr>
            <w:tcW w:w="3256" w:type="dxa"/>
          </w:tcPr>
          <w:p w:rsidR="002C66E8" w:rsidRPr="00553AE1" w:rsidRDefault="002C66E8"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Durata </w:t>
            </w:r>
          </w:p>
        </w:tc>
        <w:tc>
          <w:tcPr>
            <w:tcW w:w="6372" w:type="dxa"/>
          </w:tcPr>
          <w:p w:rsidR="002C66E8" w:rsidRPr="00553AE1" w:rsidRDefault="002C66E8" w:rsidP="00D52001">
            <w:pPr>
              <w:autoSpaceDE w:val="0"/>
              <w:autoSpaceDN w:val="0"/>
              <w:adjustRightInd w:val="0"/>
              <w:jc w:val="both"/>
              <w:rPr>
                <w:rFonts w:cs="AdvP868E"/>
                <w:color w:val="0D0D0D" w:themeColor="text1" w:themeTint="F2"/>
                <w:sz w:val="24"/>
                <w:szCs w:val="24"/>
              </w:rPr>
            </w:pPr>
            <w:r w:rsidRPr="00553AE1">
              <w:rPr>
                <w:sz w:val="24"/>
                <w:szCs w:val="24"/>
              </w:rPr>
              <w:t>1 anno di pre-ammortamento in cui vengono corrisposti i soli interessi e 3 anni di ammortamento per il rimborso del capitale e degli interessi.</w:t>
            </w:r>
          </w:p>
        </w:tc>
      </w:tr>
      <w:tr w:rsidR="002C66E8" w:rsidRPr="00553AE1" w:rsidTr="00D52001">
        <w:tc>
          <w:tcPr>
            <w:tcW w:w="3256" w:type="dxa"/>
          </w:tcPr>
          <w:p w:rsidR="002C66E8" w:rsidRPr="00553AE1" w:rsidRDefault="002C66E8"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Finanziamento massimo</w:t>
            </w:r>
          </w:p>
        </w:tc>
        <w:tc>
          <w:tcPr>
            <w:tcW w:w="6372" w:type="dxa"/>
          </w:tcPr>
          <w:p w:rsidR="002C66E8" w:rsidRPr="00553AE1" w:rsidRDefault="002C66E8" w:rsidP="00D52001">
            <w:pPr>
              <w:autoSpaceDE w:val="0"/>
              <w:autoSpaceDN w:val="0"/>
              <w:adjustRightInd w:val="0"/>
              <w:jc w:val="both"/>
              <w:rPr>
                <w:rFonts w:cs="AdvP868E"/>
                <w:color w:val="0D0D0D" w:themeColor="text1" w:themeTint="F2"/>
                <w:sz w:val="24"/>
                <w:szCs w:val="24"/>
              </w:rPr>
            </w:pPr>
            <w:r w:rsidRPr="00553AE1">
              <w:rPr>
                <w:sz w:val="24"/>
                <w:szCs w:val="24"/>
              </w:rPr>
              <w:t>300.000,00 euro fino al 12,5% dei ricavi</w:t>
            </w:r>
          </w:p>
        </w:tc>
      </w:tr>
      <w:tr w:rsidR="002C66E8" w:rsidRPr="00553AE1" w:rsidTr="00D52001">
        <w:tc>
          <w:tcPr>
            <w:tcW w:w="3256" w:type="dxa"/>
          </w:tcPr>
          <w:p w:rsidR="002C66E8" w:rsidRPr="00553AE1" w:rsidRDefault="002C66E8"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Garanzia </w:t>
            </w:r>
          </w:p>
        </w:tc>
        <w:tc>
          <w:tcPr>
            <w:tcW w:w="6372" w:type="dxa"/>
          </w:tcPr>
          <w:p w:rsidR="002C66E8" w:rsidRPr="00553AE1" w:rsidRDefault="002C66E8"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La misura è stabilita dallo “scoring”</w:t>
            </w:r>
          </w:p>
        </w:tc>
      </w:tr>
      <w:tr w:rsidR="002C66E8" w:rsidRPr="00553AE1" w:rsidTr="00D52001">
        <w:tc>
          <w:tcPr>
            <w:tcW w:w="3256" w:type="dxa"/>
          </w:tcPr>
          <w:p w:rsidR="002C66E8" w:rsidRPr="00553AE1" w:rsidRDefault="002C66E8"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Rimborso </w:t>
            </w:r>
          </w:p>
        </w:tc>
        <w:tc>
          <w:tcPr>
            <w:tcW w:w="6372" w:type="dxa"/>
          </w:tcPr>
          <w:p w:rsidR="002C66E8" w:rsidRPr="00553AE1" w:rsidRDefault="002C66E8"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Rate semestrali</w:t>
            </w:r>
          </w:p>
        </w:tc>
      </w:tr>
      <w:tr w:rsidR="002C66E8" w:rsidRPr="00553AE1" w:rsidTr="00D52001">
        <w:tc>
          <w:tcPr>
            <w:tcW w:w="3256" w:type="dxa"/>
          </w:tcPr>
          <w:p w:rsidR="002C66E8" w:rsidRPr="00553AE1" w:rsidRDefault="002C66E8"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De </w:t>
            </w:r>
            <w:proofErr w:type="spellStart"/>
            <w:r w:rsidRPr="00553AE1">
              <w:rPr>
                <w:rFonts w:cs="AdvP868E"/>
                <w:b/>
                <w:color w:val="0D0D0D" w:themeColor="text1" w:themeTint="F2"/>
                <w:sz w:val="24"/>
                <w:szCs w:val="24"/>
              </w:rPr>
              <w:t>minimis</w:t>
            </w:r>
            <w:proofErr w:type="spellEnd"/>
            <w:r w:rsidRPr="00553AE1">
              <w:rPr>
                <w:rFonts w:cs="AdvP868E"/>
                <w:b/>
                <w:color w:val="0D0D0D" w:themeColor="text1" w:themeTint="F2"/>
                <w:sz w:val="24"/>
                <w:szCs w:val="24"/>
              </w:rPr>
              <w:t xml:space="preserve"> </w:t>
            </w:r>
          </w:p>
        </w:tc>
        <w:tc>
          <w:tcPr>
            <w:tcW w:w="6372" w:type="dxa"/>
          </w:tcPr>
          <w:p w:rsidR="002C66E8" w:rsidRPr="00553AE1" w:rsidRDefault="002C66E8"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 xml:space="preserve">Gli interventi prevedono il regime “de </w:t>
            </w:r>
            <w:proofErr w:type="spellStart"/>
            <w:r w:rsidRPr="00553AE1">
              <w:rPr>
                <w:rFonts w:cs="AdvP868E"/>
                <w:color w:val="0D0D0D" w:themeColor="text1" w:themeTint="F2"/>
                <w:sz w:val="24"/>
                <w:szCs w:val="24"/>
              </w:rPr>
              <w:t>minimis</w:t>
            </w:r>
            <w:proofErr w:type="spellEnd"/>
            <w:r w:rsidRPr="00553AE1">
              <w:rPr>
                <w:rFonts w:cs="AdvP868E"/>
                <w:color w:val="0D0D0D" w:themeColor="text1" w:themeTint="F2"/>
                <w:sz w:val="24"/>
                <w:szCs w:val="24"/>
              </w:rPr>
              <w:t>”</w:t>
            </w:r>
          </w:p>
        </w:tc>
      </w:tr>
      <w:tr w:rsidR="002C66E8" w:rsidRPr="00553AE1" w:rsidTr="00D52001">
        <w:tc>
          <w:tcPr>
            <w:tcW w:w="3256" w:type="dxa"/>
          </w:tcPr>
          <w:p w:rsidR="002C66E8" w:rsidRPr="00553AE1" w:rsidRDefault="002C66E8"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Erogazione </w:t>
            </w:r>
          </w:p>
        </w:tc>
        <w:tc>
          <w:tcPr>
            <w:tcW w:w="6372" w:type="dxa"/>
          </w:tcPr>
          <w:p w:rsidR="002C66E8" w:rsidRPr="00553AE1" w:rsidRDefault="002C66E8"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Il 50% a titolo di anticipo ed il saldo a fronte di rendicontazione</w:t>
            </w:r>
          </w:p>
        </w:tc>
      </w:tr>
      <w:tr w:rsidR="002C66E8" w:rsidRPr="00553AE1" w:rsidTr="00D52001">
        <w:tc>
          <w:tcPr>
            <w:tcW w:w="3256" w:type="dxa"/>
          </w:tcPr>
          <w:p w:rsidR="002C66E8" w:rsidRPr="00553AE1" w:rsidRDefault="002C66E8"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Tasso </w:t>
            </w:r>
          </w:p>
        </w:tc>
        <w:tc>
          <w:tcPr>
            <w:tcW w:w="6372" w:type="dxa"/>
          </w:tcPr>
          <w:p w:rsidR="002C66E8" w:rsidRPr="00553AE1" w:rsidRDefault="002C66E8" w:rsidP="00D52001">
            <w:pPr>
              <w:autoSpaceDE w:val="0"/>
              <w:autoSpaceDN w:val="0"/>
              <w:adjustRightInd w:val="0"/>
              <w:jc w:val="both"/>
              <w:rPr>
                <w:rFonts w:cs="AdvP868E"/>
                <w:color w:val="0D0D0D" w:themeColor="text1" w:themeTint="F2"/>
                <w:sz w:val="24"/>
                <w:szCs w:val="24"/>
              </w:rPr>
            </w:pPr>
            <w:r w:rsidRPr="00553AE1">
              <w:rPr>
                <w:rStyle w:val="Enfasicorsivo"/>
                <w:rFonts w:cs="Arial"/>
                <w:i w:val="0"/>
                <w:color w:val="000000" w:themeColor="text1"/>
                <w:sz w:val="24"/>
                <w:szCs w:val="24"/>
              </w:rPr>
              <w:t>Tasso pari al 10% del tasso di riferimento UE</w:t>
            </w:r>
            <w:r w:rsidRPr="00553AE1">
              <w:rPr>
                <w:rStyle w:val="Enfasicorsivo"/>
                <w:rFonts w:ascii="Arial" w:hAnsi="Arial" w:cs="Arial"/>
                <w:color w:val="000000" w:themeColor="text1"/>
                <w:sz w:val="24"/>
                <w:szCs w:val="24"/>
              </w:rPr>
              <w:t xml:space="preserve"> </w:t>
            </w:r>
            <w:r w:rsidRPr="00553AE1">
              <w:rPr>
                <w:rStyle w:val="Enfasicorsivo"/>
                <w:rFonts w:ascii="Arial" w:hAnsi="Arial" w:cs="Arial"/>
                <w:color w:val="666666"/>
                <w:sz w:val="24"/>
                <w:szCs w:val="24"/>
              </w:rPr>
              <w:t>(</w:t>
            </w:r>
            <w:r w:rsidRPr="00553AE1">
              <w:rPr>
                <w:rFonts w:cs="AdvP868E"/>
                <w:color w:val="0D0D0D" w:themeColor="text1" w:themeTint="F2"/>
                <w:sz w:val="24"/>
                <w:szCs w:val="24"/>
              </w:rPr>
              <w:t>Attualmente 0,087%)</w:t>
            </w:r>
          </w:p>
        </w:tc>
      </w:tr>
      <w:tr w:rsidR="002C66E8" w:rsidRPr="00553AE1" w:rsidTr="00D52001">
        <w:tc>
          <w:tcPr>
            <w:tcW w:w="3256" w:type="dxa"/>
          </w:tcPr>
          <w:p w:rsidR="002C66E8" w:rsidRPr="00553AE1" w:rsidRDefault="002C66E8" w:rsidP="00D52001">
            <w:pPr>
              <w:autoSpaceDE w:val="0"/>
              <w:autoSpaceDN w:val="0"/>
              <w:adjustRightInd w:val="0"/>
              <w:jc w:val="both"/>
              <w:rPr>
                <w:rFonts w:cs="AdvP868E"/>
                <w:b/>
                <w:color w:val="0D0D0D" w:themeColor="text1" w:themeTint="F2"/>
                <w:sz w:val="24"/>
                <w:szCs w:val="24"/>
              </w:rPr>
            </w:pPr>
            <w:r w:rsidRPr="00553AE1">
              <w:rPr>
                <w:rFonts w:cs="AdvP868E"/>
                <w:b/>
                <w:color w:val="0D0D0D" w:themeColor="text1" w:themeTint="F2"/>
                <w:sz w:val="24"/>
                <w:szCs w:val="24"/>
              </w:rPr>
              <w:t xml:space="preserve">Indebitamento </w:t>
            </w:r>
          </w:p>
        </w:tc>
        <w:tc>
          <w:tcPr>
            <w:tcW w:w="6372" w:type="dxa"/>
          </w:tcPr>
          <w:p w:rsidR="002C66E8" w:rsidRPr="00553AE1" w:rsidRDefault="002C66E8" w:rsidP="00D52001">
            <w:pPr>
              <w:autoSpaceDE w:val="0"/>
              <w:autoSpaceDN w:val="0"/>
              <w:adjustRightInd w:val="0"/>
              <w:jc w:val="both"/>
              <w:rPr>
                <w:rFonts w:cs="AdvP868E"/>
                <w:color w:val="0D0D0D" w:themeColor="text1" w:themeTint="F2"/>
                <w:sz w:val="24"/>
                <w:szCs w:val="24"/>
              </w:rPr>
            </w:pPr>
            <w:r w:rsidRPr="00553AE1">
              <w:rPr>
                <w:rFonts w:cs="AdvP868E"/>
                <w:color w:val="0D0D0D" w:themeColor="text1" w:themeTint="F2"/>
                <w:sz w:val="24"/>
                <w:szCs w:val="24"/>
              </w:rPr>
              <w:t xml:space="preserve">Non </w:t>
            </w:r>
            <w:proofErr w:type="gramStart"/>
            <w:r w:rsidRPr="00553AE1">
              <w:rPr>
                <w:rFonts w:cs="AdvP868E"/>
                <w:color w:val="0D0D0D" w:themeColor="text1" w:themeTint="F2"/>
                <w:sz w:val="24"/>
                <w:szCs w:val="24"/>
              </w:rPr>
              <w:t>è  prevista</w:t>
            </w:r>
            <w:proofErr w:type="gramEnd"/>
            <w:r w:rsidRPr="00553AE1">
              <w:rPr>
                <w:rFonts w:cs="AdvP868E"/>
                <w:color w:val="0D0D0D" w:themeColor="text1" w:themeTint="F2"/>
                <w:sz w:val="24"/>
                <w:szCs w:val="24"/>
              </w:rPr>
              <w:t xml:space="preserve"> segnalazione in centrale rischi</w:t>
            </w:r>
          </w:p>
        </w:tc>
      </w:tr>
    </w:tbl>
    <w:p w:rsidR="002C66E8" w:rsidRPr="00553AE1" w:rsidRDefault="002C66E8" w:rsidP="002C66E8">
      <w:pPr>
        <w:autoSpaceDE w:val="0"/>
        <w:autoSpaceDN w:val="0"/>
        <w:adjustRightInd w:val="0"/>
        <w:spacing w:after="0" w:line="240" w:lineRule="auto"/>
        <w:rPr>
          <w:rFonts w:cs="AdvP868E"/>
          <w:color w:val="0D0D0D" w:themeColor="text1" w:themeTint="F2"/>
          <w:sz w:val="24"/>
          <w:szCs w:val="24"/>
        </w:rPr>
      </w:pPr>
    </w:p>
    <w:p w:rsidR="002C66E8" w:rsidRDefault="002C66E8" w:rsidP="002C66E8">
      <w:pPr>
        <w:autoSpaceDE w:val="0"/>
        <w:autoSpaceDN w:val="0"/>
        <w:adjustRightInd w:val="0"/>
        <w:spacing w:after="0" w:line="240" w:lineRule="auto"/>
        <w:rPr>
          <w:rFonts w:cs="AdvP868E"/>
          <w:color w:val="0D0D0D" w:themeColor="text1" w:themeTint="F2"/>
        </w:rPr>
      </w:pPr>
    </w:p>
    <w:p w:rsidR="002C66E8" w:rsidRDefault="002C66E8" w:rsidP="002C66E8">
      <w:pPr>
        <w:autoSpaceDE w:val="0"/>
        <w:autoSpaceDN w:val="0"/>
        <w:adjustRightInd w:val="0"/>
        <w:spacing w:after="0" w:line="240" w:lineRule="auto"/>
        <w:rPr>
          <w:rFonts w:cs="AdvP868E"/>
          <w:color w:val="0D0D0D" w:themeColor="text1" w:themeTint="F2"/>
        </w:rPr>
      </w:pPr>
    </w:p>
    <w:p w:rsidR="002C66E8" w:rsidRDefault="002C66E8" w:rsidP="002C66E8">
      <w:pPr>
        <w:autoSpaceDE w:val="0"/>
        <w:autoSpaceDN w:val="0"/>
        <w:adjustRightInd w:val="0"/>
        <w:spacing w:after="0" w:line="240" w:lineRule="auto"/>
        <w:rPr>
          <w:rFonts w:cs="AdvP868E"/>
          <w:color w:val="0D0D0D" w:themeColor="text1" w:themeTint="F2"/>
        </w:rPr>
      </w:pPr>
    </w:p>
    <w:p w:rsidR="002C66E8" w:rsidRDefault="002C66E8" w:rsidP="008E1A54">
      <w:pPr>
        <w:autoSpaceDE w:val="0"/>
        <w:autoSpaceDN w:val="0"/>
        <w:adjustRightInd w:val="0"/>
        <w:spacing w:after="0" w:line="240" w:lineRule="auto"/>
        <w:rPr>
          <w:rFonts w:cs="AdvP868E"/>
          <w:color w:val="0D0D0D" w:themeColor="text1" w:themeTint="F2"/>
        </w:rPr>
      </w:pPr>
    </w:p>
    <w:sectPr w:rsidR="002C66E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A26" w:rsidRDefault="00156A26" w:rsidP="00253755">
      <w:pPr>
        <w:spacing w:after="0" w:line="240" w:lineRule="auto"/>
      </w:pPr>
      <w:r>
        <w:separator/>
      </w:r>
    </w:p>
  </w:endnote>
  <w:endnote w:type="continuationSeparator" w:id="0">
    <w:p w:rsidR="00156A26" w:rsidRDefault="00156A26" w:rsidP="0025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868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95C" w:rsidRDefault="0076695C">
    <w:pPr>
      <w:pStyle w:val="Pidipagina"/>
    </w:pPr>
  </w:p>
  <w:p w:rsidR="00EA60ED" w:rsidRDefault="00EA60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A26" w:rsidRDefault="00156A26" w:rsidP="00253755">
      <w:pPr>
        <w:spacing w:after="0" w:line="240" w:lineRule="auto"/>
      </w:pPr>
      <w:r>
        <w:separator/>
      </w:r>
    </w:p>
  </w:footnote>
  <w:footnote w:type="continuationSeparator" w:id="0">
    <w:p w:rsidR="00156A26" w:rsidRDefault="00156A26" w:rsidP="00253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16CB"/>
    <w:multiLevelType w:val="hybridMultilevel"/>
    <w:tmpl w:val="56BCC6B8"/>
    <w:lvl w:ilvl="0" w:tplc="189A515E">
      <w:start w:val="1"/>
      <w:numFmt w:val="bullet"/>
      <w:lvlText w:val="•"/>
      <w:lvlJc w:val="left"/>
      <w:pPr>
        <w:ind w:left="1039" w:hanging="464"/>
      </w:pPr>
      <w:rPr>
        <w:rFonts w:ascii="Calibri" w:eastAsia="Calibri" w:hAnsi="Calibri" w:cs="Calibri" w:hint="default"/>
        <w:b/>
        <w:bCs/>
        <w:color w:val="365292"/>
        <w:w w:val="100"/>
        <w:sz w:val="64"/>
        <w:szCs w:val="64"/>
      </w:rPr>
    </w:lvl>
    <w:lvl w:ilvl="1" w:tplc="EA1CF8D2">
      <w:start w:val="1"/>
      <w:numFmt w:val="bullet"/>
      <w:lvlText w:val="•"/>
      <w:lvlJc w:val="left"/>
      <w:pPr>
        <w:ind w:left="1458" w:hanging="465"/>
      </w:pPr>
      <w:rPr>
        <w:rFonts w:ascii="Calibri" w:eastAsia="Calibri" w:hAnsi="Calibri" w:cs="Calibri" w:hint="default"/>
        <w:b/>
        <w:bCs/>
        <w:color w:val="365292"/>
        <w:w w:val="100"/>
        <w:sz w:val="64"/>
        <w:szCs w:val="64"/>
      </w:rPr>
    </w:lvl>
    <w:lvl w:ilvl="2" w:tplc="3BE0635A">
      <w:start w:val="1"/>
      <w:numFmt w:val="bullet"/>
      <w:lvlText w:val="•"/>
      <w:lvlJc w:val="left"/>
      <w:pPr>
        <w:ind w:left="1460" w:hanging="465"/>
      </w:pPr>
      <w:rPr>
        <w:rFonts w:hint="default"/>
      </w:rPr>
    </w:lvl>
    <w:lvl w:ilvl="3" w:tplc="FD1CA750">
      <w:start w:val="1"/>
      <w:numFmt w:val="bullet"/>
      <w:lvlText w:val="•"/>
      <w:lvlJc w:val="left"/>
      <w:pPr>
        <w:ind w:left="3077" w:hanging="465"/>
      </w:pPr>
      <w:rPr>
        <w:rFonts w:hint="default"/>
      </w:rPr>
    </w:lvl>
    <w:lvl w:ilvl="4" w:tplc="1AA44498">
      <w:start w:val="1"/>
      <w:numFmt w:val="bullet"/>
      <w:lvlText w:val="•"/>
      <w:lvlJc w:val="left"/>
      <w:pPr>
        <w:ind w:left="4695" w:hanging="465"/>
      </w:pPr>
      <w:rPr>
        <w:rFonts w:hint="default"/>
      </w:rPr>
    </w:lvl>
    <w:lvl w:ilvl="5" w:tplc="0FE060D8">
      <w:start w:val="1"/>
      <w:numFmt w:val="bullet"/>
      <w:lvlText w:val="•"/>
      <w:lvlJc w:val="left"/>
      <w:pPr>
        <w:ind w:left="6312" w:hanging="465"/>
      </w:pPr>
      <w:rPr>
        <w:rFonts w:hint="default"/>
      </w:rPr>
    </w:lvl>
    <w:lvl w:ilvl="6" w:tplc="9D1A94C8">
      <w:start w:val="1"/>
      <w:numFmt w:val="bullet"/>
      <w:lvlText w:val="•"/>
      <w:lvlJc w:val="left"/>
      <w:pPr>
        <w:ind w:left="7930" w:hanging="465"/>
      </w:pPr>
      <w:rPr>
        <w:rFonts w:hint="default"/>
      </w:rPr>
    </w:lvl>
    <w:lvl w:ilvl="7" w:tplc="35D6A22C">
      <w:start w:val="1"/>
      <w:numFmt w:val="bullet"/>
      <w:lvlText w:val="•"/>
      <w:lvlJc w:val="left"/>
      <w:pPr>
        <w:ind w:left="9547" w:hanging="465"/>
      </w:pPr>
      <w:rPr>
        <w:rFonts w:hint="default"/>
      </w:rPr>
    </w:lvl>
    <w:lvl w:ilvl="8" w:tplc="D9BCA62E">
      <w:start w:val="1"/>
      <w:numFmt w:val="bullet"/>
      <w:lvlText w:val="•"/>
      <w:lvlJc w:val="left"/>
      <w:pPr>
        <w:ind w:left="11165" w:hanging="465"/>
      </w:pPr>
      <w:rPr>
        <w:rFonts w:hint="default"/>
      </w:rPr>
    </w:lvl>
  </w:abstractNum>
  <w:abstractNum w:abstractNumId="1" w15:restartNumberingAfterBreak="0">
    <w:nsid w:val="11A23577"/>
    <w:multiLevelType w:val="hybridMultilevel"/>
    <w:tmpl w:val="C3460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833D24"/>
    <w:multiLevelType w:val="hybridMultilevel"/>
    <w:tmpl w:val="AED82736"/>
    <w:lvl w:ilvl="0" w:tplc="B2AC135A">
      <w:start w:val="19"/>
      <w:numFmt w:val="bullet"/>
      <w:lvlText w:val="-"/>
      <w:lvlJc w:val="left"/>
      <w:pPr>
        <w:ind w:left="720" w:hanging="360"/>
      </w:pPr>
      <w:rPr>
        <w:rFonts w:ascii="AdvP868E" w:eastAsiaTheme="minorHAnsi" w:hAnsi="AdvP868E" w:cs="AdvP868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C87218"/>
    <w:multiLevelType w:val="hybridMultilevel"/>
    <w:tmpl w:val="9BBAC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570EA6"/>
    <w:multiLevelType w:val="hybridMultilevel"/>
    <w:tmpl w:val="6FB04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AC7A15"/>
    <w:multiLevelType w:val="hybridMultilevel"/>
    <w:tmpl w:val="966C1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E9125C"/>
    <w:multiLevelType w:val="multilevel"/>
    <w:tmpl w:val="8B965C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55"/>
    <w:rsid w:val="000E6E9A"/>
    <w:rsid w:val="00127349"/>
    <w:rsid w:val="00156A26"/>
    <w:rsid w:val="001709E4"/>
    <w:rsid w:val="00253755"/>
    <w:rsid w:val="00257563"/>
    <w:rsid w:val="00260C1F"/>
    <w:rsid w:val="00265504"/>
    <w:rsid w:val="002C66E8"/>
    <w:rsid w:val="00326D78"/>
    <w:rsid w:val="00340BD2"/>
    <w:rsid w:val="003A6D35"/>
    <w:rsid w:val="004A1F8A"/>
    <w:rsid w:val="004C1EB0"/>
    <w:rsid w:val="004D6D26"/>
    <w:rsid w:val="005335AE"/>
    <w:rsid w:val="00553AE1"/>
    <w:rsid w:val="005A5422"/>
    <w:rsid w:val="005B36F0"/>
    <w:rsid w:val="006349DC"/>
    <w:rsid w:val="00671F12"/>
    <w:rsid w:val="00735458"/>
    <w:rsid w:val="0076695C"/>
    <w:rsid w:val="00823E9D"/>
    <w:rsid w:val="008E1A54"/>
    <w:rsid w:val="008E2D96"/>
    <w:rsid w:val="00A340DA"/>
    <w:rsid w:val="00A4286F"/>
    <w:rsid w:val="00A46970"/>
    <w:rsid w:val="00A74B36"/>
    <w:rsid w:val="00B61FD2"/>
    <w:rsid w:val="00C43841"/>
    <w:rsid w:val="00D06C38"/>
    <w:rsid w:val="00D46D06"/>
    <w:rsid w:val="00D65C73"/>
    <w:rsid w:val="00DA08CF"/>
    <w:rsid w:val="00DD6469"/>
    <w:rsid w:val="00E323CB"/>
    <w:rsid w:val="00EA60ED"/>
    <w:rsid w:val="00ED4B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97D37"/>
  <w15:chartTrackingRefBased/>
  <w15:docId w15:val="{966A2BFF-33FD-4369-9BAC-51A8F2B2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37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3755"/>
  </w:style>
  <w:style w:type="paragraph" w:styleId="Pidipagina">
    <w:name w:val="footer"/>
    <w:basedOn w:val="Normale"/>
    <w:link w:val="PidipaginaCarattere"/>
    <w:uiPriority w:val="99"/>
    <w:unhideWhenUsed/>
    <w:rsid w:val="002537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3755"/>
  </w:style>
  <w:style w:type="paragraph" w:styleId="Paragrafoelenco">
    <w:name w:val="List Paragraph"/>
    <w:basedOn w:val="Normale"/>
    <w:uiPriority w:val="34"/>
    <w:qFormat/>
    <w:rsid w:val="00A340DA"/>
    <w:pPr>
      <w:ind w:left="720"/>
      <w:contextualSpacing/>
    </w:pPr>
  </w:style>
  <w:style w:type="paragraph" w:styleId="Testofumetto">
    <w:name w:val="Balloon Text"/>
    <w:basedOn w:val="Normale"/>
    <w:link w:val="TestofumettoCarattere"/>
    <w:uiPriority w:val="99"/>
    <w:semiHidden/>
    <w:unhideWhenUsed/>
    <w:rsid w:val="00B61F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1FD2"/>
    <w:rPr>
      <w:rFonts w:ascii="Segoe UI" w:hAnsi="Segoe UI" w:cs="Segoe UI"/>
      <w:sz w:val="18"/>
      <w:szCs w:val="18"/>
    </w:rPr>
  </w:style>
  <w:style w:type="table" w:styleId="Grigliatabella">
    <w:name w:val="Table Grid"/>
    <w:basedOn w:val="Tabellanormale"/>
    <w:uiPriority w:val="39"/>
    <w:rsid w:val="00766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1709E4"/>
    <w:rPr>
      <w:i/>
      <w:iCs/>
    </w:rPr>
  </w:style>
  <w:style w:type="paragraph" w:styleId="Rientrocorpodeltesto">
    <w:name w:val="Body Text Indent"/>
    <w:basedOn w:val="Normale"/>
    <w:link w:val="RientrocorpodeltestoCarattere"/>
    <w:semiHidden/>
    <w:rsid w:val="00823E9D"/>
    <w:pPr>
      <w:spacing w:after="0" w:line="240" w:lineRule="auto"/>
      <w:ind w:left="4820"/>
    </w:pPr>
    <w:rPr>
      <w:rFonts w:ascii="Arial" w:eastAsia="Times New Roman" w:hAnsi="Arial" w:cs="Times New Roman"/>
      <w:b/>
      <w:sz w:val="24"/>
      <w:szCs w:val="20"/>
      <w:lang w:eastAsia="it-IT"/>
    </w:rPr>
  </w:style>
  <w:style w:type="character" w:customStyle="1" w:styleId="RientrocorpodeltestoCarattere">
    <w:name w:val="Rientro corpo del testo Carattere"/>
    <w:basedOn w:val="Carpredefinitoparagrafo"/>
    <w:link w:val="Rientrocorpodeltesto"/>
    <w:semiHidden/>
    <w:rsid w:val="00823E9D"/>
    <w:rPr>
      <w:rFonts w:ascii="Arial" w:eastAsia="Times New Roman" w:hAnsi="Arial"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1196</Words>
  <Characters>6820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Ottone</dc:creator>
  <cp:keywords/>
  <dc:description/>
  <cp:lastModifiedBy>Marcella Villano</cp:lastModifiedBy>
  <cp:revision>5</cp:revision>
  <cp:lastPrinted>2019-03-14T09:56:00Z</cp:lastPrinted>
  <dcterms:created xsi:type="dcterms:W3CDTF">2018-07-23T13:21:00Z</dcterms:created>
  <dcterms:modified xsi:type="dcterms:W3CDTF">2019-04-17T09:53:00Z</dcterms:modified>
</cp:coreProperties>
</file>