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627" w:rsidRPr="00ED7627" w:rsidRDefault="00ED7627" w:rsidP="00ED7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it-IT"/>
        </w:rPr>
      </w:pPr>
      <w:r w:rsidRPr="00ED7627">
        <w:rPr>
          <w:rFonts w:ascii="Courier New" w:eastAsia="Times New Roman" w:hAnsi="Courier New" w:cs="Courier New"/>
          <w:b/>
          <w:bCs/>
          <w:sz w:val="20"/>
          <w:szCs w:val="20"/>
          <w:lang w:eastAsia="it-IT"/>
        </w:rPr>
        <w:t xml:space="preserve">DECRETO 17 ottobre 2016  </w:t>
      </w:r>
    </w:p>
    <w:p w:rsidR="00ED7627" w:rsidRPr="00ED7627" w:rsidRDefault="00ED7627" w:rsidP="00ED7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it-IT"/>
        </w:rPr>
      </w:pPr>
      <w:r w:rsidRPr="00ED7627">
        <w:rPr>
          <w:rFonts w:ascii="Courier New" w:eastAsia="Times New Roman" w:hAnsi="Courier New" w:cs="Courier New"/>
          <w:b/>
          <w:bCs/>
          <w:sz w:val="20"/>
          <w:szCs w:val="20"/>
          <w:lang w:eastAsia="it-IT"/>
        </w:rPr>
        <w:t>Criteri e modalità</w:t>
      </w:r>
      <w:bookmarkStart w:id="0" w:name="_GoBack"/>
      <w:bookmarkEnd w:id="0"/>
      <w:r w:rsidRPr="00ED7627">
        <w:rPr>
          <w:rFonts w:ascii="Courier New" w:eastAsia="Times New Roman" w:hAnsi="Courier New" w:cs="Courier New"/>
          <w:b/>
          <w:bCs/>
          <w:sz w:val="20"/>
          <w:szCs w:val="20"/>
          <w:lang w:eastAsia="it-IT"/>
        </w:rPr>
        <w:t xml:space="preserve"> per la concessione di finanziamenti agevolati in favore delle imprese vittime di mancati pagamenti. (16A08589) (GU Serie Generale n.290 del 13-12-2016) 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IL MINISTRO 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DELLO SVILUPPO ECONOMICO 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di concerto con 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IL MINISTRO DELL'ECONOMIA 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E DELLE FINANZE 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l'art. 1, comma 199, della legge 28  dicembre  2015,  n.  208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(legge di </w:t>
      </w:r>
      <w:proofErr w:type="spellStart"/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>stabilita'</w:t>
      </w:r>
      <w:proofErr w:type="spellEnd"/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2016), che istituisce presso il Ministero  dello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>sviluppo economico il Fondo per il credito alle  aziende  vittime  di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>mancati pagamenti, dotato di 10 milioni di euro annui per il triennio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2016-2018 e avente la </w:t>
      </w:r>
      <w:proofErr w:type="spellStart"/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>finalita'</w:t>
      </w:r>
      <w:proofErr w:type="spellEnd"/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sostegno  alle  piccole  e  medie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>imprese potenzialmente in crisi a causa della mancata  corresponsione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denaro da parte di altre aziende debitrici; 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comma 200 del medesimo art. 1,  che  dispone  che  possono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>accedere al Fondo per il credito  alle  aziende  vittime  di  mancati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>pagamenti le piccole e medie imprese che risultano parti offese in un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>procedimento penale, in corso alla data di entrata  in  vigore  della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>stessa legge n. 208  del  2015,  a  carico  delle  aziende  debitrici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>imputate dei delitti di  cui  agli  articoli  629  (estorsione),  640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>(truffa), 641 (insolvenza fraudolenta) del codice  penale  e  di  cui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all'art. 2621 del codice civile (false comunicazioni sociali); 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Visto, </w:t>
      </w:r>
      <w:proofErr w:type="spellStart"/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>altresi'</w:t>
      </w:r>
      <w:proofErr w:type="spellEnd"/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>, il comma 201 del medesimo art. 1, che prevede  che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>con decreto del Ministro dello sviluppo economico, di concerto con il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>Ministro  dell'economia  e  delle  finanze,  sono  determinati,   nel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>rispetto delle vigenti disposizioni in materia di aiuti di  Stato,  i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limiti, i criteri e le </w:t>
      </w:r>
      <w:proofErr w:type="spellStart"/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per la concessione dei finanziamenti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>agevolati da parte dello Stato nei confronti delle imprese vittime di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mancati pagamenti; 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Visto, infine, il comma 202 del medesimo art. 1, che prevede che in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>caso di assoluzione delle aziende imputate per i delitti  di  cui  al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>citato comma 200, i soggetti beneficiari dei finanziamenti  agevolati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sono tenuti al rimborso delle  somme  erogate  secondo  le  </w:t>
      </w:r>
      <w:proofErr w:type="spellStart"/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stabilite dal decreto di cui al comma 201; 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decreto-legge 22  giugno  2012,  n.  83,  convertito,  con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>modificazioni, dalla legge 7 agosto 2012,  n.  134,  recante  «Misure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>urgenti per la crescita del Paese», e, in particolare, l'art. 23, che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>stabilisce che il Fondo speciale rotativo di cui  all'art.  14  della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>legge 17 febbraio 1982, n. 46, istituito presso  il  Ministero  dello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>sviluppo economico, assume la denominazione di «Fondo per la crescita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sostenibile» ed </w:t>
      </w:r>
      <w:proofErr w:type="spellStart"/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destinato, sulla base  di  obiettivi  e  </w:t>
      </w:r>
      <w:proofErr w:type="spellStart"/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>priorita'</w:t>
      </w:r>
      <w:proofErr w:type="spellEnd"/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>periodicamente  stabiliti  e  nel  rispetto  dei  vincoli   derivanti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>dall'appartenenza all'ordinamento comunitario,  al  finanziamento  di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>programmi  e  interventi  con  un  impatto  significativo  in  ambito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nazionale  sulla   </w:t>
      </w:r>
      <w:proofErr w:type="spellStart"/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>competitivita'</w:t>
      </w:r>
      <w:proofErr w:type="spellEnd"/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dell'apparato   produttivo,   con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particolare riguardo alle seguenti </w:t>
      </w:r>
      <w:proofErr w:type="spellStart"/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>finalita'</w:t>
      </w:r>
      <w:proofErr w:type="spellEnd"/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: 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la promozione di progetti di ricerca, sviluppo  e  innovazione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rilevanza strategica per  il  rilancio  della  </w:t>
      </w:r>
      <w:proofErr w:type="spellStart"/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>competitivita'</w:t>
      </w:r>
      <w:proofErr w:type="spellEnd"/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>sistema produttivo, anche tramite  il  consolidamento  dei  centri  e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delle strutture di ricerca e sviluppo delle imprese; 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il rafforzamento della struttura produttiva, il riutilizzo  di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>impianti produttivi e il rilancio di aree che versano  in  situazioni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di crisi complessa di rilevanza nazionale tramite  la  sottoscrizione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accordi di programma; 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la promozione della presenza internazionale  delle  imprese  e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>l'attrazione di investimenti dall'estero, anche in  raccordo  con  le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>azioni che  saranno  attivate  dall'ICE  Agenzia  per  la  promozione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all'estero e l'internazionalizzazione delle imprese italiane; 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 decreto  legislativo  31  marzo  1998,  n.  123,  recante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>disposizioni per la razionalizzazione degli  interventi  di  sostegno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pubblico alle imprese; 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Vista la legge 7 agosto 1990,  n.  241  e  successive  modifiche  e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>integrazioni,  recante  «Nuove  norme  in  materia  di   procedimento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amministrativo e di diritto di accesso ai documenti amministrativi»; 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Vista la definizione di micro, piccola e media impresa di cui  alla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>raccomandazione della Commissione europea 2003/361/CE  del  6  maggio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>2003  e  all'allegato  1  al  regolamento  (UE)  n.  651/2014   della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Commissione, del 17 giugno 2014,  </w:t>
      </w:r>
      <w:proofErr w:type="spellStart"/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>'  al  decreto  del  Ministro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delle </w:t>
      </w:r>
      <w:proofErr w:type="spellStart"/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produttive 18 aprile 2005, pubblicato nella  Gazzetta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>Ufficiale della Repubblica italiana del  12  ottobre  2005,  n.  238,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>recante l'adeguamento dei criteri  di  individuazione  di  piccole  e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medie imprese alla disciplina comunitaria; 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regolamento (UE) n. 1407/2013 della  Commissione,  del  18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>dicembre  2013,  pubblicato  nella  Gazzetta  Ufficiale   dell'Unione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>europea L 352 del 24 dicembre 2013, relativo  all'applicazione  degli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>articoli 107 e 108 del trattato sul funzionamento dell'Unione europea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agli aiuti «de </w:t>
      </w:r>
      <w:proofErr w:type="spellStart"/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>minimis</w:t>
      </w:r>
      <w:proofErr w:type="spellEnd"/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»; 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regolamento (UE) n. 1408/2013 della  Commissione,  del  18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>dicembre  2013,  pubblicato  nella  Gazzetta  Ufficiale   dell'Unione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>europea L 352 del 24 dicembre 2013, relativo  all'applicazione  degli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>articoli 107 e 108 del trattato sul funzionamento dell'Unione europea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agli aiuti «de </w:t>
      </w:r>
      <w:proofErr w:type="spellStart"/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>minimis</w:t>
      </w:r>
      <w:proofErr w:type="spellEnd"/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» nel settore agricolo; 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regolamento (UE) n. 717/2014  della  Commissione,  del  27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>giugno 2014, pubblicato nella Gazzetta Ufficiale dell'Unione  europea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>L 190 del 28 giugno 2014, relativo  all'applicazione  degli  articoli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>107 e 108 del trattato sul  funzionamento  dell'Unione  europea  agli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aiuti «de </w:t>
      </w:r>
      <w:proofErr w:type="spellStart"/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>minimis</w:t>
      </w:r>
      <w:proofErr w:type="spellEnd"/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» nel settore della pesca e dell'acquacoltura; 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Vista la comunicazione  della  Commissione  europea  relativa  alla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>revisione del metodo di fissazione dei  tassi  di  riferimento  e  di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>attualizzazione (2008/C 14/02) e in  particolare  il  tasso  di  base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>pubblicato   dalla   Commissione   europea    nel    sito    internet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>http://ec.europa.eu/competition/state_aid/legislation/reference_rates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.html; 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legislativo 6 settembre 2011, n. 159 «Codice delle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leggi  antimafia  e  delle  misure  di  prevenzione,  </w:t>
      </w:r>
      <w:proofErr w:type="spellStart"/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>'   nuove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>disposizioni in materia di documentazione antimafia,  a  norma  degli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articoli 1 e 2 della legge 13 agosto 2010, n. 136»; 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l'art. 5-ter, comma 1, del decreto-legge 24 gennaio 2012,  n.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>1, convertito, con modificazioni, dalla legge 24 marzo 2012,  n.  27,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che attribuisce </w:t>
      </w:r>
      <w:proofErr w:type="spellStart"/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>all'Autorita'</w:t>
      </w:r>
      <w:proofErr w:type="spellEnd"/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garante della concorrenza e del mercato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>il compito di elaborare e assegnare, su istanza di parte,  un  rating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</w:t>
      </w:r>
      <w:proofErr w:type="spellStart"/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>legalita'</w:t>
      </w:r>
      <w:proofErr w:type="spellEnd"/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alle  imprese  operanti  nel  territorio  nazionale  che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>raggiungano un fatturato minimo di due milioni di euro, riferito alla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>singola impresa o al gruppo di appartenenza, secondo i criteri  e  le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stabilite da un regolamento della medesima </w:t>
      </w:r>
      <w:proofErr w:type="spellStart"/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>Autorita'</w:t>
      </w:r>
      <w:proofErr w:type="spellEnd"/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; 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dei Ministri dell'economia e delle finanze e dello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>sviluppo economico 20 febbraio 2014, n. 57,  recante  il  regolamento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concernente l'individuazione delle </w:t>
      </w:r>
      <w:proofErr w:type="spellStart"/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 base  alle  quali  si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tiene conto del rating di </w:t>
      </w:r>
      <w:proofErr w:type="spellStart"/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>legalita'</w:t>
      </w:r>
      <w:proofErr w:type="spellEnd"/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attribuito alle imprese  ai  fini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>della  concessione  di  finanziamenti  da   parte   delle   pubbliche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>amministrazioni e di accesso al credito bancario, ai sensi del citato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5-ter, comma 1, del decreto-legge n. 1 del 2012; 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Ritenuto di versare le risorse di cui all'art. 1, comma 199,  della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legge 28 dicembre 2015, n. 208, alla </w:t>
      </w:r>
      <w:proofErr w:type="spellStart"/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>contabilita'</w:t>
      </w:r>
      <w:proofErr w:type="spellEnd"/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speciale  n.  1201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>del sopra menzionato Fondo per la  crescita  sostenibile  di  cui  al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decreto-legge n. 83 del 2012; 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Decreta: 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 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Definizioni 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 Ai  fini  del  presente  decreto,  sono  adottate  le  seguenti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definizioni: 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«Ministero»: il Ministero dello sviluppo economico; 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«DGIAI»: la Direzione generale per gli incentivi alle  imprese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Ministero; 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«legge n.  208/2015»:  la  legge  28  dicembre  2015,  n.  208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>«Disposizioni per la formazione del bilancio  annuale  e  pluriennale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dello Stato (legge di </w:t>
      </w:r>
      <w:proofErr w:type="spellStart"/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>stabilita'</w:t>
      </w:r>
      <w:proofErr w:type="spellEnd"/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2016)»,  limitatamente  all'art.  1,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commi 199, 200, 201 e 202; 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«Fondo»: il Fondo per  il  credito  alle  imprese  vittime  di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>mancati  pagamenti  istituito  dalla  legge  n.  208/2015  presso  il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Ministero; 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e) «Fondo per la crescita sostenibile»: il Fondo per la  crescita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>sostenibile di cui all'art. 23 del decreto-legge 22 giugno  2012,  n.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83, convertito, con modificazioni, dalla legge 7 agosto 2012, n. 134; 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f) «Regolamento di esenzione»: regolamento (UE) n. 651/2014 della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>Commissione,  del  17  giugno  2014,   e   successive   modifiche   e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>integrazioni, che dichiara alcune categorie di aiuti compatibili  con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>il mercato interno in applicazione  degli  articoli  107  e  108  del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trattato; 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g) «Regolamento de </w:t>
      </w:r>
      <w:proofErr w:type="spellStart"/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>minimis</w:t>
      </w:r>
      <w:proofErr w:type="spellEnd"/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>»: regolamento (UE) n. 1407/2013  della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>Commissione,  del  18  dicembre  2013,  e  successive   modifiche   e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>integrazioni, relativo all'applicazione degli articoli 107 e 108  del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>trattato  sul  funzionamento  dell'Unione  europea  agli  aiuti   «de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>minimis</w:t>
      </w:r>
      <w:proofErr w:type="spellEnd"/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»; 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h) «Regolamento de  </w:t>
      </w:r>
      <w:proofErr w:type="spellStart"/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>minimis</w:t>
      </w:r>
      <w:proofErr w:type="spellEnd"/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agricoltura»:  regolamento  (UE)  n.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>1408/2013  della  Commissione,  del  18   dicembre   2013,   relativo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>all'applicazione  degli  articoli  107  e  108   del   trattato   sul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funzionamento dell'Unione europea agli aiuti «de </w:t>
      </w:r>
      <w:proofErr w:type="spellStart"/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>minimis</w:t>
      </w:r>
      <w:proofErr w:type="spellEnd"/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>» nel settore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agricolo; 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i) «Regolamento de </w:t>
      </w:r>
      <w:proofErr w:type="spellStart"/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>minimis</w:t>
      </w:r>
      <w:proofErr w:type="spellEnd"/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pesca»: regolamento (UE)  n.  717/2014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>della Commissione, del  27  giugno  2014,  relativo  all'applicazione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>degli articoli 107 e 108 del trattato sul  funzionamento  dell'Unione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europea  agli  aiuti  «de  </w:t>
      </w:r>
      <w:proofErr w:type="spellStart"/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>minimis</w:t>
      </w:r>
      <w:proofErr w:type="spellEnd"/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>»  nel  settore   della   pesca   e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dell'acquacoltura; 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l) «ESL»: l'equivalente sovvenzione lordo di cui agli articoli 3,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comma 6, rispettivamente del regolamento de </w:t>
      </w:r>
      <w:proofErr w:type="spellStart"/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>minimis</w:t>
      </w:r>
      <w:proofErr w:type="spellEnd"/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>, del  regolamento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 </w:t>
      </w:r>
      <w:proofErr w:type="spellStart"/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>minimis</w:t>
      </w:r>
      <w:proofErr w:type="spellEnd"/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pesca e del regolamento de </w:t>
      </w:r>
      <w:proofErr w:type="spellStart"/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>minimis</w:t>
      </w:r>
      <w:proofErr w:type="spellEnd"/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agricoltura; 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m) «legge n.  241/1990»:  la  legge  7  agosto  1990,  n.  241  e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>successive modifiche e integrazioni, recante «Nuove norme in  materia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>di procedimento amministrativo e di diritto di accesso  ai  documenti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amministrativi»; 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n) «PMI  beneficiarie»:  micro,  piccole  e  medie  imprese  come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definite nell'allegato </w:t>
      </w:r>
      <w:proofErr w:type="spellStart"/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>l</w:t>
      </w:r>
      <w:proofErr w:type="spellEnd"/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regolamento di esenzione, che  risultano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>parti offese  in  un  procedimento  penale  a  carico  delle  imprese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>debitrici di cui alla lettera o), in corso alla data del  1°  gennaio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2016; 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o) «imprese  debitrici»:  imprese  imputate  in  un  procedimento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>penale, in corso alla data del 1° gennaio  2016,  nel  quale  la  PMI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beneficiaria risulta  parte  offesa,  di  uno  o  </w:t>
      </w:r>
      <w:proofErr w:type="spellStart"/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dei  seguenti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delitti: 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1) estorsione, ai sensi dell'art. 629 del codice penale; 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2) truffa, ai sensi dell'art. 640 del codice penale; 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3) insolvenza fraudolenta, ai sensi dell'art.  641  del  codice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penale; 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4) false comunicazioni sociali, ai  sensi  dell'art.  2621  del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codice civile. 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p) «Comunicazione  n.  14/08»:  comunicazione  della  Commissione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>europea relativa alla revisione del metodo di fissazione dei tassi di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riferimento e di attualizzazione (2008/C 14/02); 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q) «tasso di base»: tasso di base  pubblicato  dalla  Commissione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>europea               nel                sito                internet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>http://ec.europa.eu/competition/state_aid/legislation/reference_rates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.html; 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r) «impresa unica»: l'impresa unica  </w:t>
      </w:r>
      <w:proofErr w:type="spellStart"/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>cosi'</w:t>
      </w:r>
      <w:proofErr w:type="spellEnd"/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come  definita  dagli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articoli 2, comma 2, rispettivamente del regolamento de </w:t>
      </w:r>
      <w:proofErr w:type="spellStart"/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>minimis</w:t>
      </w:r>
      <w:proofErr w:type="spellEnd"/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>,  del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regolamento  de  </w:t>
      </w:r>
      <w:proofErr w:type="spellStart"/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>minimis</w:t>
      </w:r>
      <w:proofErr w:type="spellEnd"/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pesca  e   del   regolamento   de   </w:t>
      </w:r>
      <w:proofErr w:type="spellStart"/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>minimis</w:t>
      </w:r>
      <w:proofErr w:type="spellEnd"/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agricoltura; 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s) «codice antimafia»: il decreto legislativo 6  settembre  2011,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>n. 159 «Codice delle leggi antimafia e delle misure  di  prevenzione,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>' nuove disposizioni in materia di documentazione antimafia,  a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norma degli articoli 1 e 2 della legge 13 agosto 2010, n. 136»; 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t) «decreto legislativo n. 123/1998»: il decreto  legislativo  31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>marzo 1998, n. 123 e successive  modifiche  e  integrazioni,  recante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>«Disposizioni per la razionalizzazione degli interventi  di  sostegno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>pubblico alle imprese, a norma dell'art.  4,  comma  4,  lettera  c),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legge 15 marzo 1997, n. 59»; 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u) «rating di </w:t>
      </w:r>
      <w:proofErr w:type="spellStart"/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>legalita'</w:t>
      </w:r>
      <w:proofErr w:type="spellEnd"/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»: il rating di </w:t>
      </w:r>
      <w:proofErr w:type="spellStart"/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>legalita'</w:t>
      </w:r>
      <w:proofErr w:type="spellEnd"/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delle imprese di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>cui all'art. 5-ter, comma 1, del decreto-legge 24 gennaio 2012, n. 1,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>convertito, con modificazioni, dalla legge 24  marzo  2012,  n.  27»,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attribuito </w:t>
      </w:r>
      <w:proofErr w:type="spellStart"/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>dall'Autorita'</w:t>
      </w:r>
      <w:proofErr w:type="spellEnd"/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garante della concorrenza e del mercato; 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v) «DSAN»: dichiarazione sostitutiva dell'atto di  </w:t>
      </w:r>
      <w:proofErr w:type="spellStart"/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>notorieta'</w:t>
      </w:r>
      <w:proofErr w:type="spellEnd"/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ai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>sensi dell'art. 47 del decreto del  Presidente  della  Repubblica  28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>dicembre 2000, n. 445 e successive modifiche e integrazioni,  recante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>«Testo  unico  delle  disposizioni  legislative  e  regolamentari  in</w:t>
      </w:r>
    </w:p>
    <w:p w:rsidR="00EB4DFA" w:rsidRPr="00EB4DFA" w:rsidRDefault="00EB4DFA" w:rsidP="00E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B4D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materia di documentazione amministrativa». </w:t>
      </w:r>
    </w:p>
    <w:p w:rsidR="006B29D0" w:rsidRDefault="006B29D0"/>
    <w:sectPr w:rsidR="006B29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373"/>
    <w:rsid w:val="006B29D0"/>
    <w:rsid w:val="00C301CC"/>
    <w:rsid w:val="00CB21EB"/>
    <w:rsid w:val="00EB4DFA"/>
    <w:rsid w:val="00ED7627"/>
    <w:rsid w:val="00FD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5FC4B4-DA74-4FD2-8761-E7E3920E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1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1907</Words>
  <Characters>10874</Characters>
  <Application>Microsoft Office Word</Application>
  <DocSecurity>0</DocSecurity>
  <Lines>90</Lines>
  <Paragraphs>25</Paragraphs>
  <ScaleCrop>false</ScaleCrop>
  <Company/>
  <LinksUpToDate>false</LinksUpToDate>
  <CharactersWithSpaces>12756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Marcella Villano</dc:creator>
  <cp:keywords/>
  <dc:description/>
  <cp:lastModifiedBy>Marcella Villano</cp:lastModifiedBy>
  <cp:revision>4</cp:revision>
  <dcterms:created xsi:type="dcterms:W3CDTF">2017-03-21T09:03:00Z</dcterms:created>
  <dcterms:modified xsi:type="dcterms:W3CDTF">2017-03-21T09:11:00Z</dcterms:modified>
</cp:coreProperties>
</file>