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BA4" w:rsidRPr="00407BA4" w:rsidRDefault="00407BA4" w:rsidP="00407BA4">
      <w:pPr>
        <w:pStyle w:val="Corpodeltesto2"/>
        <w:keepNext/>
        <w:keepLines/>
        <w:spacing w:line="276" w:lineRule="auto"/>
        <w:ind w:left="-1418"/>
        <w:rPr>
          <w:rFonts w:ascii="Arial" w:hAnsi="Arial" w:cs="Arial"/>
          <w:b/>
          <w:sz w:val="20"/>
          <w:szCs w:val="20"/>
        </w:rPr>
      </w:pPr>
      <w:bookmarkStart w:id="0" w:name="_GoBack"/>
      <w:bookmarkEnd w:id="0"/>
      <w:r w:rsidRPr="00407BA4">
        <w:rPr>
          <w:rFonts w:ascii="Arial" w:hAnsi="Arial" w:cs="Arial"/>
          <w:b/>
          <w:sz w:val="20"/>
          <w:szCs w:val="20"/>
        </w:rPr>
        <w:t xml:space="preserve">Allegato </w:t>
      </w:r>
    </w:p>
    <w:p w:rsidR="00407BA4" w:rsidRPr="00407BA4" w:rsidRDefault="00407BA4" w:rsidP="00407BA4">
      <w:pPr>
        <w:pStyle w:val="Corpodeltesto2"/>
        <w:keepNext/>
        <w:keepLines/>
        <w:spacing w:line="276" w:lineRule="auto"/>
        <w:ind w:left="-1418"/>
        <w:rPr>
          <w:rFonts w:ascii="Arial" w:hAnsi="Arial" w:cs="Arial"/>
          <w:sz w:val="20"/>
          <w:szCs w:val="20"/>
        </w:rPr>
      </w:pPr>
    </w:p>
    <w:p w:rsidR="00407BA4" w:rsidRPr="00407BA4" w:rsidRDefault="00407BA4" w:rsidP="00407BA4">
      <w:pPr>
        <w:pStyle w:val="Paragrafoelenco"/>
        <w:ind w:left="-1418"/>
        <w:jc w:val="both"/>
        <w:rPr>
          <w:rFonts w:ascii="Arial" w:hAnsi="Arial" w:cs="Arial"/>
          <w:sz w:val="20"/>
          <w:szCs w:val="20"/>
          <w:lang w:val="it-IT"/>
        </w:rPr>
      </w:pPr>
      <w:r w:rsidRPr="00407BA4">
        <w:rPr>
          <w:rFonts w:ascii="Arial" w:hAnsi="Arial" w:cs="Arial"/>
          <w:sz w:val="20"/>
          <w:szCs w:val="20"/>
          <w:lang w:val="it-IT"/>
        </w:rPr>
        <w:t>ITALGAS, società del gruppo SNAM, è il principale operatore in Italia nella distribuzione del gas naturale con una quota di mercato di circa il 30%. Gestisce oltre 50.000 Km di rete in circa 1.500 comuni servendo 6.5 milioni di utenti sul territorio nazionale.</w:t>
      </w:r>
    </w:p>
    <w:p w:rsidR="00407BA4" w:rsidRPr="00407BA4" w:rsidRDefault="00407BA4" w:rsidP="00407BA4">
      <w:pPr>
        <w:pStyle w:val="Paragrafoelenco"/>
        <w:ind w:left="-1418"/>
        <w:jc w:val="both"/>
        <w:rPr>
          <w:rFonts w:ascii="Arial" w:hAnsi="Arial" w:cs="Arial"/>
          <w:sz w:val="20"/>
          <w:szCs w:val="20"/>
          <w:lang w:val="it-IT"/>
        </w:rPr>
      </w:pPr>
      <w:r w:rsidRPr="00407BA4">
        <w:rPr>
          <w:rFonts w:ascii="Arial" w:hAnsi="Arial" w:cs="Arial"/>
          <w:sz w:val="20"/>
          <w:szCs w:val="20"/>
          <w:lang w:val="it-IT"/>
        </w:rPr>
        <w:t>Nell’ambito degli obiettivi di risparmio energetico nazionale conseguibili mediante interventi di efficienza energetica associati a rilascio dei cosiddetti “certificati bianchi” (TEE), ITALGAS, in qualità di distributore gas e, quindi, soggetto obbligato dalla normativa vigente al conseguimento di TEE, rappresenta il secondo operatore in Italia per fabbisogno di volumi.</w:t>
      </w:r>
    </w:p>
    <w:p w:rsidR="00407BA4" w:rsidRPr="00407BA4" w:rsidRDefault="00407BA4" w:rsidP="00407BA4">
      <w:pPr>
        <w:pStyle w:val="Paragrafoelenco"/>
        <w:ind w:left="-1418"/>
        <w:jc w:val="both"/>
        <w:rPr>
          <w:rFonts w:ascii="Arial" w:hAnsi="Arial" w:cs="Arial"/>
          <w:sz w:val="20"/>
          <w:szCs w:val="20"/>
          <w:lang w:val="it-IT"/>
        </w:rPr>
      </w:pPr>
    </w:p>
    <w:p w:rsidR="00407BA4" w:rsidRPr="00407BA4" w:rsidRDefault="00407BA4" w:rsidP="00407BA4">
      <w:pPr>
        <w:pStyle w:val="Paragrafoelenco"/>
        <w:ind w:left="-1418"/>
        <w:jc w:val="both"/>
        <w:rPr>
          <w:rFonts w:ascii="Arial" w:hAnsi="Arial" w:cs="Arial"/>
          <w:sz w:val="20"/>
          <w:szCs w:val="20"/>
          <w:lang w:val="it-IT"/>
        </w:rPr>
      </w:pPr>
      <w:r w:rsidRPr="00407BA4">
        <w:rPr>
          <w:rFonts w:ascii="Arial" w:hAnsi="Arial" w:cs="Arial"/>
          <w:sz w:val="20"/>
          <w:szCs w:val="20"/>
          <w:lang w:val="it-IT"/>
        </w:rPr>
        <w:t>In tale contesto ITALGAS è interessata ad acquistare TEE dagli Associati su tutto il territorio nazionale mediante sottoscrizione di accordi bilaterali anche di durata pluriennale</w:t>
      </w:r>
    </w:p>
    <w:p w:rsidR="00407BA4" w:rsidRDefault="00407BA4" w:rsidP="00407BA4">
      <w:pPr>
        <w:spacing w:line="276" w:lineRule="auto"/>
        <w:ind w:left="-1418"/>
        <w:jc w:val="both"/>
        <w:rPr>
          <w:rFonts w:ascii="Arial" w:hAnsi="Arial" w:cs="Arial"/>
          <w:b/>
          <w:i/>
        </w:rPr>
      </w:pPr>
      <w:r w:rsidRPr="00407BA4">
        <w:rPr>
          <w:rFonts w:ascii="Arial" w:hAnsi="Arial" w:cs="Arial"/>
          <w:b/>
          <w:i/>
        </w:rPr>
        <w:t>Condizioni generali dell'accordo</w:t>
      </w:r>
    </w:p>
    <w:p w:rsidR="00407BA4" w:rsidRPr="00407BA4" w:rsidRDefault="00407BA4" w:rsidP="00407BA4">
      <w:pPr>
        <w:spacing w:line="276" w:lineRule="auto"/>
        <w:ind w:left="-1418"/>
        <w:jc w:val="both"/>
        <w:rPr>
          <w:rFonts w:ascii="Arial" w:hAnsi="Arial" w:cs="Arial"/>
          <w:b/>
          <w:i/>
        </w:rPr>
      </w:pPr>
    </w:p>
    <w:p w:rsidR="00407BA4" w:rsidRDefault="00407BA4" w:rsidP="00407BA4">
      <w:pPr>
        <w:spacing w:line="276" w:lineRule="auto"/>
        <w:ind w:left="-1418"/>
        <w:jc w:val="both"/>
        <w:rPr>
          <w:rFonts w:ascii="Arial" w:hAnsi="Arial" w:cs="Arial"/>
        </w:rPr>
      </w:pPr>
      <w:r w:rsidRPr="00407BA4">
        <w:rPr>
          <w:rFonts w:ascii="Arial" w:hAnsi="Arial" w:cs="Arial"/>
        </w:rPr>
        <w:t>I contratti, che saranno necessariamente perfezionati da specifica negoziazione tra Italgas e gli Associati, verranno stipulati sulla base dei seguenti principi generali:</w:t>
      </w:r>
    </w:p>
    <w:p w:rsidR="00407BA4" w:rsidRPr="00407BA4" w:rsidRDefault="00407BA4" w:rsidP="00407BA4">
      <w:pPr>
        <w:spacing w:line="276" w:lineRule="auto"/>
        <w:ind w:left="-1418"/>
        <w:jc w:val="both"/>
        <w:rPr>
          <w:rFonts w:ascii="Arial" w:hAnsi="Arial" w:cs="Arial"/>
        </w:rPr>
      </w:pPr>
    </w:p>
    <w:p w:rsidR="00407BA4" w:rsidRDefault="00407BA4" w:rsidP="00407BA4">
      <w:pPr>
        <w:numPr>
          <w:ilvl w:val="0"/>
          <w:numId w:val="14"/>
        </w:numPr>
        <w:spacing w:line="276" w:lineRule="auto"/>
        <w:ind w:left="-1134"/>
        <w:jc w:val="both"/>
        <w:rPr>
          <w:rFonts w:ascii="Arial" w:hAnsi="Arial" w:cs="Arial"/>
        </w:rPr>
      </w:pPr>
      <w:r w:rsidRPr="00407BA4">
        <w:rPr>
          <w:rFonts w:ascii="Arial" w:hAnsi="Arial" w:cs="Arial"/>
          <w:b/>
        </w:rPr>
        <w:t>Durata:</w:t>
      </w:r>
      <w:r w:rsidRPr="00407BA4">
        <w:rPr>
          <w:rFonts w:ascii="Arial" w:hAnsi="Arial" w:cs="Arial"/>
        </w:rPr>
        <w:t xml:space="preserve"> ITALGAS è disponibile a sottoscrivere accordi, anche di durata pluriennale, </w:t>
      </w:r>
      <w:r w:rsidR="00483626">
        <w:rPr>
          <w:rFonts w:ascii="Arial" w:hAnsi="Arial" w:cs="Arial"/>
        </w:rPr>
        <w:t>per</w:t>
      </w:r>
      <w:r w:rsidRPr="00407BA4">
        <w:rPr>
          <w:rFonts w:ascii="Arial" w:hAnsi="Arial" w:cs="Arial"/>
        </w:rPr>
        <w:t xml:space="preserve"> il ritiro di titoli nel tempo. I contratti possono prevedere il ritiro immediato dei titoli (se disponibili) permettendo agli Associati alcuni vantaggi rispetto alla vendita in Borsa. In particolare, oltre a consentire una strategia bilanciata del processo di vendita dei TEE, attenuando la tipica volatilità di Borsa, è possibile minimizzare gli oneri operativi dovuti alla gestione della vendita in Borsa.</w:t>
      </w:r>
    </w:p>
    <w:p w:rsidR="00407BA4" w:rsidRPr="00407BA4" w:rsidRDefault="00407BA4" w:rsidP="00407BA4">
      <w:pPr>
        <w:spacing w:line="276" w:lineRule="auto"/>
        <w:ind w:left="-1494"/>
        <w:jc w:val="both"/>
        <w:rPr>
          <w:rFonts w:ascii="Arial" w:hAnsi="Arial" w:cs="Arial"/>
        </w:rPr>
      </w:pPr>
    </w:p>
    <w:p w:rsidR="00407BA4" w:rsidRDefault="00407BA4" w:rsidP="00407BA4">
      <w:pPr>
        <w:numPr>
          <w:ilvl w:val="0"/>
          <w:numId w:val="14"/>
        </w:numPr>
        <w:spacing w:line="276" w:lineRule="auto"/>
        <w:ind w:left="-1134"/>
        <w:jc w:val="both"/>
        <w:rPr>
          <w:rFonts w:ascii="Arial" w:hAnsi="Arial" w:cs="Arial"/>
        </w:rPr>
      </w:pPr>
      <w:r w:rsidRPr="00407BA4">
        <w:rPr>
          <w:rFonts w:ascii="Arial" w:hAnsi="Arial" w:cs="Arial"/>
          <w:b/>
        </w:rPr>
        <w:t>Volumi garantiti:</w:t>
      </w:r>
      <w:r w:rsidRPr="00407BA4">
        <w:rPr>
          <w:rFonts w:ascii="Arial" w:hAnsi="Arial" w:cs="Arial"/>
        </w:rPr>
        <w:t xml:space="preserve"> ITALGAS è interessata a sottoscrivere accordi con volumi minimi </w:t>
      </w:r>
      <w:r w:rsidR="00483626">
        <w:rPr>
          <w:rFonts w:ascii="Arial" w:hAnsi="Arial" w:cs="Arial"/>
        </w:rPr>
        <w:t>offerti</w:t>
      </w:r>
      <w:r w:rsidRPr="00407BA4">
        <w:rPr>
          <w:rFonts w:ascii="Arial" w:hAnsi="Arial" w:cs="Arial"/>
        </w:rPr>
        <w:t xml:space="preserve"> (almeno 1000 TEE/anno), nell'orizzonte temporale che verrà concordato, e opzioni di ritiro su volumi aggiuntivi che potranno essere generati sia negli anni di contratto che, eventualmente, in quelli successivi. Questo schema </w:t>
      </w:r>
      <w:r w:rsidR="00483626">
        <w:rPr>
          <w:rFonts w:ascii="Arial" w:hAnsi="Arial" w:cs="Arial"/>
        </w:rPr>
        <w:t>consente</w:t>
      </w:r>
      <w:r w:rsidRPr="00407BA4">
        <w:rPr>
          <w:rFonts w:ascii="Arial" w:hAnsi="Arial" w:cs="Arial"/>
        </w:rPr>
        <w:t xml:space="preserve"> agli Associati la cessione immediata di tutti i volumi di TEE generati nel tempo consentendo un’adeguata programmazione finanziaria.</w:t>
      </w:r>
    </w:p>
    <w:p w:rsidR="00407BA4" w:rsidRPr="00407BA4" w:rsidRDefault="00A61A81" w:rsidP="00407BA4">
      <w:pPr>
        <w:spacing w:line="276" w:lineRule="auto"/>
        <w:ind w:left="-1494"/>
        <w:jc w:val="both"/>
        <w:rPr>
          <w:rFonts w:ascii="Arial" w:hAnsi="Arial" w:cs="Arial"/>
        </w:rPr>
      </w:pPr>
      <w:r>
        <w:rPr>
          <w:rFonts w:ascii="Arial" w:hAnsi="Arial" w:cs="Arial"/>
        </w:rPr>
        <w:t xml:space="preserve"> </w:t>
      </w:r>
    </w:p>
    <w:p w:rsidR="00407BA4" w:rsidRPr="00407BA4" w:rsidRDefault="00407BA4" w:rsidP="00407BA4">
      <w:pPr>
        <w:numPr>
          <w:ilvl w:val="0"/>
          <w:numId w:val="14"/>
        </w:numPr>
        <w:spacing w:line="276" w:lineRule="auto"/>
        <w:ind w:left="-1134"/>
        <w:jc w:val="both"/>
        <w:rPr>
          <w:rFonts w:ascii="Arial" w:hAnsi="Arial" w:cs="Arial"/>
        </w:rPr>
      </w:pPr>
      <w:r w:rsidRPr="00407BA4">
        <w:rPr>
          <w:rFonts w:ascii="Arial" w:hAnsi="Arial" w:cs="Arial"/>
          <w:b/>
        </w:rPr>
        <w:t>Prezzo indicizzato:</w:t>
      </w:r>
      <w:r w:rsidRPr="00407BA4">
        <w:rPr>
          <w:rFonts w:ascii="Arial" w:hAnsi="Arial" w:cs="Arial"/>
        </w:rPr>
        <w:t xml:space="preserve"> gli accordi </w:t>
      </w:r>
      <w:r w:rsidR="00483626">
        <w:rPr>
          <w:rFonts w:ascii="Arial" w:hAnsi="Arial" w:cs="Arial"/>
        </w:rPr>
        <w:t xml:space="preserve">potranno generare </w:t>
      </w:r>
      <w:r w:rsidRPr="00407BA4">
        <w:rPr>
          <w:rFonts w:ascii="Arial" w:hAnsi="Arial" w:cs="Arial"/>
        </w:rPr>
        <w:t>vantaggi reciproc</w:t>
      </w:r>
      <w:r w:rsidR="00483626">
        <w:rPr>
          <w:rFonts w:ascii="Arial" w:hAnsi="Arial" w:cs="Arial"/>
        </w:rPr>
        <w:t>i</w:t>
      </w:r>
      <w:r w:rsidRPr="00407BA4">
        <w:rPr>
          <w:rFonts w:ascii="Arial" w:hAnsi="Arial" w:cs="Arial"/>
        </w:rPr>
        <w:t xml:space="preserve"> rispetto al meccanismo di Borsa, facendo sì che entrambe le Parti possano beneficiare di un prezzo pre-definito, indicizzato al prezzo medio di Borsa, e quindi indipendente dalle fluttuazioni puntuali della stessa. Tale meccanismo risulta particolarmente vantaggioso per gli Associati se si considera che in anni di alta volatilità il prezzo medio delle singole sessioni di Borsa è stato inferiore alla media annuale quasi nell'80% dei casi. Il grafico e la tabella sottostanti mostrano gli andamenti di Borsa relativi all'anno d'obbligo 2015 YTD (giugno 2015 - aprile 2016). Si può facilmente evincere come, a causa del picco dei prezzi di marzo, la maggior parte delle sessioni sia stata caratterizzata da prezzi di scambio inferiori alla media ponderata totale.</w:t>
      </w:r>
      <w:r w:rsidRPr="00407BA4" w:rsidDel="004455DC">
        <w:rPr>
          <w:rFonts w:ascii="Arial" w:hAnsi="Arial" w:cs="Arial"/>
        </w:rPr>
        <w:t xml:space="preserve"> </w:t>
      </w:r>
    </w:p>
    <w:p w:rsidR="00407BA4" w:rsidRPr="00407BA4" w:rsidRDefault="00407BA4" w:rsidP="00407BA4">
      <w:pPr>
        <w:pStyle w:val="Paragrafoelenco"/>
        <w:keepNext/>
        <w:keepLines/>
        <w:spacing w:after="0"/>
        <w:ind w:left="-1418"/>
        <w:jc w:val="both"/>
        <w:rPr>
          <w:rFonts w:ascii="Arial" w:hAnsi="Arial" w:cs="Arial"/>
          <w:i/>
          <w:sz w:val="20"/>
          <w:szCs w:val="20"/>
          <w:lang w:val="it-IT"/>
        </w:rPr>
      </w:pPr>
    </w:p>
    <w:p w:rsidR="00407BA4" w:rsidRPr="00407BA4" w:rsidRDefault="00407BA4" w:rsidP="00407BA4">
      <w:pPr>
        <w:pStyle w:val="Paragrafoelenco"/>
        <w:keepNext/>
        <w:keepLines/>
        <w:spacing w:after="0"/>
        <w:ind w:left="-1418"/>
        <w:jc w:val="both"/>
        <w:rPr>
          <w:rFonts w:ascii="Arial" w:hAnsi="Arial" w:cs="Arial"/>
          <w:i/>
          <w:sz w:val="20"/>
          <w:szCs w:val="20"/>
          <w:lang w:val="it-IT"/>
        </w:rPr>
      </w:pPr>
      <w:r w:rsidRPr="00407BA4">
        <w:rPr>
          <w:rFonts w:ascii="Arial" w:hAnsi="Arial" w:cs="Arial"/>
          <w:i/>
          <w:sz w:val="20"/>
          <w:szCs w:val="20"/>
          <w:lang w:val="it-IT"/>
        </w:rPr>
        <w:t>Grafico 1: Prezzo medio per sessione di Borsa (€/TEE) anno d'obbligo 2015 YTD (giugno 2015 – aprile 2016)</w:t>
      </w:r>
    </w:p>
    <w:p w:rsidR="00407BA4" w:rsidRPr="00407BA4" w:rsidRDefault="00407BA4" w:rsidP="00407BA4">
      <w:pPr>
        <w:pStyle w:val="Paragrafoelenco"/>
        <w:keepNext/>
        <w:keepLines/>
        <w:spacing w:after="0"/>
        <w:ind w:left="-1418"/>
        <w:jc w:val="center"/>
        <w:rPr>
          <w:rFonts w:ascii="Arial" w:hAnsi="Arial" w:cs="Arial"/>
          <w:b/>
          <w:sz w:val="20"/>
          <w:szCs w:val="20"/>
          <w:lang w:val="it-IT"/>
        </w:rPr>
      </w:pPr>
      <w:r>
        <w:rPr>
          <w:rFonts w:ascii="Arial" w:hAnsi="Arial" w:cs="Arial"/>
          <w:b/>
          <w:noProof/>
          <w:sz w:val="20"/>
          <w:szCs w:val="20"/>
        </w:rPr>
        <w:drawing>
          <wp:inline distT="0" distB="0" distL="0" distR="0">
            <wp:extent cx="4572000" cy="2798445"/>
            <wp:effectExtent l="0" t="0" r="0" b="190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t="11055" b="7333"/>
                    <a:stretch>
                      <a:fillRect/>
                    </a:stretch>
                  </pic:blipFill>
                  <pic:spPr bwMode="auto">
                    <a:xfrm>
                      <a:off x="0" y="0"/>
                      <a:ext cx="4572000" cy="2798445"/>
                    </a:xfrm>
                    <a:prstGeom prst="rect">
                      <a:avLst/>
                    </a:prstGeom>
                    <a:noFill/>
                  </pic:spPr>
                </pic:pic>
              </a:graphicData>
            </a:graphic>
          </wp:inline>
        </w:drawing>
      </w:r>
    </w:p>
    <w:p w:rsidR="00407BA4" w:rsidRPr="00407BA4" w:rsidRDefault="00407BA4" w:rsidP="00407BA4">
      <w:pPr>
        <w:pStyle w:val="Paragrafoelenco"/>
        <w:keepNext/>
        <w:keepLines/>
        <w:spacing w:after="0"/>
        <w:ind w:left="-1418"/>
        <w:rPr>
          <w:rFonts w:ascii="Arial" w:hAnsi="Arial" w:cs="Arial"/>
          <w:i/>
          <w:sz w:val="20"/>
          <w:szCs w:val="20"/>
          <w:lang w:val="it-IT"/>
        </w:rPr>
      </w:pPr>
    </w:p>
    <w:p w:rsidR="00407BA4" w:rsidRPr="00407BA4" w:rsidRDefault="00407BA4" w:rsidP="00407BA4">
      <w:pPr>
        <w:pStyle w:val="Paragrafoelenco"/>
        <w:keepNext/>
        <w:keepLines/>
        <w:spacing w:after="0"/>
        <w:ind w:left="-1418"/>
        <w:rPr>
          <w:rFonts w:ascii="Arial" w:hAnsi="Arial" w:cs="Arial"/>
          <w:i/>
          <w:sz w:val="20"/>
          <w:szCs w:val="20"/>
          <w:lang w:val="it-IT"/>
        </w:rPr>
      </w:pPr>
      <w:r w:rsidRPr="00407BA4">
        <w:rPr>
          <w:rFonts w:ascii="Arial" w:hAnsi="Arial" w:cs="Arial"/>
          <w:i/>
          <w:sz w:val="20"/>
          <w:szCs w:val="20"/>
          <w:lang w:val="it-IT"/>
        </w:rPr>
        <w:t>Tabella 1: Sessioni, prezzi e volumi di TEE per l'anno d'obbligo 2015 YTD</w:t>
      </w:r>
    </w:p>
    <w:p w:rsidR="00407BA4" w:rsidRPr="00407BA4" w:rsidRDefault="00407BA4" w:rsidP="00407BA4">
      <w:pPr>
        <w:pStyle w:val="Paragrafoelenco"/>
        <w:keepNext/>
        <w:keepLines/>
        <w:spacing w:after="0"/>
        <w:ind w:left="-1418"/>
        <w:jc w:val="center"/>
        <w:rPr>
          <w:rFonts w:ascii="Arial" w:hAnsi="Arial" w:cs="Arial"/>
          <w:sz w:val="20"/>
          <w:szCs w:val="20"/>
        </w:rPr>
      </w:pPr>
      <w:r>
        <w:rPr>
          <w:rFonts w:ascii="Arial" w:hAnsi="Arial" w:cs="Arial"/>
          <w:noProof/>
          <w:sz w:val="20"/>
          <w:szCs w:val="20"/>
        </w:rPr>
        <w:drawing>
          <wp:inline distT="0" distB="0" distL="0" distR="0">
            <wp:extent cx="3832860" cy="246316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2860" cy="2463165"/>
                    </a:xfrm>
                    <a:prstGeom prst="rect">
                      <a:avLst/>
                    </a:prstGeom>
                    <a:noFill/>
                  </pic:spPr>
                </pic:pic>
              </a:graphicData>
            </a:graphic>
          </wp:inline>
        </w:drawing>
      </w:r>
    </w:p>
    <w:p w:rsidR="00407BA4" w:rsidRPr="00407BA4" w:rsidRDefault="00407BA4" w:rsidP="00407BA4">
      <w:pPr>
        <w:pStyle w:val="Corpodeltesto2"/>
        <w:keepNext/>
        <w:keepLines/>
        <w:spacing w:line="276" w:lineRule="auto"/>
        <w:ind w:left="-1418"/>
        <w:rPr>
          <w:rFonts w:ascii="Arial" w:hAnsi="Arial" w:cs="Arial"/>
          <w:sz w:val="20"/>
          <w:szCs w:val="20"/>
        </w:rPr>
      </w:pPr>
    </w:p>
    <w:p w:rsidR="00407BA4" w:rsidRPr="00407BA4" w:rsidRDefault="00407BA4" w:rsidP="00407BA4">
      <w:pPr>
        <w:pStyle w:val="Corpodeltesto2"/>
        <w:keepNext/>
        <w:keepLines/>
        <w:spacing w:line="276" w:lineRule="auto"/>
        <w:ind w:left="-1418"/>
        <w:rPr>
          <w:rFonts w:ascii="Arial" w:hAnsi="Arial" w:cs="Arial"/>
          <w:b/>
          <w:i w:val="0"/>
          <w:sz w:val="20"/>
          <w:szCs w:val="20"/>
        </w:rPr>
      </w:pPr>
      <w:r w:rsidRPr="00407BA4">
        <w:rPr>
          <w:rFonts w:ascii="Arial" w:hAnsi="Arial" w:cs="Arial"/>
          <w:b/>
          <w:i w:val="0"/>
          <w:sz w:val="20"/>
          <w:szCs w:val="20"/>
        </w:rPr>
        <w:t>Contatti</w:t>
      </w:r>
    </w:p>
    <w:p w:rsidR="00407BA4" w:rsidRPr="00407BA4" w:rsidRDefault="00407BA4" w:rsidP="00407BA4">
      <w:pPr>
        <w:pStyle w:val="Corpodeltesto2"/>
        <w:keepNext/>
        <w:keepLines/>
        <w:spacing w:line="276" w:lineRule="auto"/>
        <w:ind w:left="-1418"/>
        <w:rPr>
          <w:rFonts w:ascii="Arial" w:hAnsi="Arial" w:cs="Arial"/>
          <w:sz w:val="20"/>
          <w:szCs w:val="20"/>
        </w:rPr>
      </w:pPr>
    </w:p>
    <w:p w:rsidR="00407BA4" w:rsidRPr="00407BA4" w:rsidRDefault="00407BA4" w:rsidP="00407BA4">
      <w:pPr>
        <w:pStyle w:val="Corpodeltesto2"/>
        <w:keepNext/>
        <w:keepLines/>
        <w:spacing w:line="276" w:lineRule="auto"/>
        <w:ind w:left="-1418"/>
        <w:rPr>
          <w:rFonts w:ascii="Arial" w:hAnsi="Arial" w:cs="Arial"/>
          <w:sz w:val="20"/>
          <w:szCs w:val="20"/>
        </w:rPr>
      </w:pPr>
      <w:r w:rsidRPr="00407BA4">
        <w:rPr>
          <w:rFonts w:ascii="Arial" w:hAnsi="Arial" w:cs="Arial"/>
          <w:sz w:val="20"/>
          <w:szCs w:val="20"/>
        </w:rPr>
        <w:t>Per maggiori informazioni sulla presente convenzione si invitano gli Associati a contattare</w:t>
      </w:r>
    </w:p>
    <w:p w:rsidR="00407BA4" w:rsidRPr="00407BA4" w:rsidRDefault="00407BA4" w:rsidP="00407BA4">
      <w:pPr>
        <w:pStyle w:val="Corpodeltesto2"/>
        <w:keepNext/>
        <w:keepLines/>
        <w:spacing w:line="276" w:lineRule="auto"/>
        <w:ind w:left="-1418"/>
        <w:rPr>
          <w:rFonts w:ascii="Arial" w:hAnsi="Arial" w:cs="Arial"/>
          <w:sz w:val="20"/>
          <w:szCs w:val="20"/>
        </w:rPr>
      </w:pPr>
      <w:r w:rsidRPr="00407BA4">
        <w:rPr>
          <w:rFonts w:ascii="Arial" w:hAnsi="Arial" w:cs="Arial"/>
          <w:sz w:val="20"/>
          <w:szCs w:val="20"/>
        </w:rPr>
        <w:t>il referente Italgas nella persona di:</w:t>
      </w:r>
    </w:p>
    <w:p w:rsidR="00407BA4" w:rsidRPr="00407BA4" w:rsidRDefault="00407BA4" w:rsidP="00407BA4">
      <w:pPr>
        <w:pStyle w:val="Corpodeltesto2"/>
        <w:keepNext/>
        <w:keepLines/>
        <w:numPr>
          <w:ilvl w:val="0"/>
          <w:numId w:val="13"/>
        </w:numPr>
        <w:spacing w:line="276" w:lineRule="auto"/>
        <w:ind w:left="-1418"/>
        <w:jc w:val="left"/>
        <w:rPr>
          <w:rFonts w:ascii="Arial" w:hAnsi="Arial" w:cs="Arial"/>
          <w:sz w:val="20"/>
          <w:szCs w:val="20"/>
          <w:lang w:eastAsia="en-US"/>
        </w:rPr>
      </w:pPr>
      <w:r w:rsidRPr="00407BA4">
        <w:rPr>
          <w:rFonts w:ascii="Arial" w:hAnsi="Arial" w:cs="Arial"/>
          <w:sz w:val="20"/>
          <w:szCs w:val="20"/>
        </w:rPr>
        <w:t>Giorgio Guseo</w:t>
      </w:r>
    </w:p>
    <w:p w:rsidR="00407BA4" w:rsidRPr="00407BA4" w:rsidRDefault="00407BA4" w:rsidP="00407BA4">
      <w:pPr>
        <w:pStyle w:val="Corpodeltesto2"/>
        <w:keepNext/>
        <w:keepLines/>
        <w:numPr>
          <w:ilvl w:val="0"/>
          <w:numId w:val="13"/>
        </w:numPr>
        <w:spacing w:line="276" w:lineRule="auto"/>
        <w:ind w:left="-1418"/>
        <w:jc w:val="left"/>
        <w:rPr>
          <w:rFonts w:ascii="Arial" w:hAnsi="Arial" w:cs="Arial"/>
          <w:sz w:val="20"/>
          <w:szCs w:val="20"/>
          <w:lang w:eastAsia="en-US"/>
        </w:rPr>
      </w:pPr>
      <w:r w:rsidRPr="00407BA4">
        <w:rPr>
          <w:rFonts w:ascii="Arial" w:hAnsi="Arial" w:cs="Arial"/>
          <w:sz w:val="20"/>
          <w:szCs w:val="20"/>
        </w:rPr>
        <w:t>Email: giorgio.guseo@italgas.it</w:t>
      </w:r>
    </w:p>
    <w:p w:rsidR="00407BA4" w:rsidRPr="00407BA4" w:rsidRDefault="00407BA4" w:rsidP="00407BA4">
      <w:pPr>
        <w:pStyle w:val="Corpodeltesto2"/>
        <w:keepNext/>
        <w:keepLines/>
        <w:numPr>
          <w:ilvl w:val="0"/>
          <w:numId w:val="13"/>
        </w:numPr>
        <w:spacing w:line="276" w:lineRule="auto"/>
        <w:ind w:left="-1418"/>
        <w:jc w:val="left"/>
        <w:rPr>
          <w:rFonts w:ascii="Arial" w:hAnsi="Arial" w:cs="Arial"/>
          <w:sz w:val="20"/>
          <w:szCs w:val="20"/>
          <w:lang w:eastAsia="en-US"/>
        </w:rPr>
      </w:pPr>
      <w:r w:rsidRPr="00407BA4">
        <w:rPr>
          <w:rFonts w:ascii="Arial" w:hAnsi="Arial" w:cs="Arial"/>
          <w:sz w:val="20"/>
          <w:szCs w:val="20"/>
        </w:rPr>
        <w:t>Tel.: 011 2394650</w:t>
      </w:r>
    </w:p>
    <w:p w:rsidR="00407BA4" w:rsidRPr="00407BA4" w:rsidRDefault="00407BA4" w:rsidP="00407BA4">
      <w:pPr>
        <w:pStyle w:val="Corpodeltesto2"/>
        <w:keepNext/>
        <w:keepLines/>
        <w:numPr>
          <w:ilvl w:val="0"/>
          <w:numId w:val="13"/>
        </w:numPr>
        <w:spacing w:line="276" w:lineRule="auto"/>
        <w:ind w:left="-1418"/>
        <w:jc w:val="left"/>
        <w:rPr>
          <w:rFonts w:ascii="Arial" w:hAnsi="Arial" w:cs="Arial"/>
          <w:sz w:val="20"/>
          <w:szCs w:val="20"/>
          <w:lang w:eastAsia="en-US"/>
        </w:rPr>
      </w:pPr>
      <w:r w:rsidRPr="00407BA4">
        <w:rPr>
          <w:rFonts w:ascii="Arial" w:hAnsi="Arial" w:cs="Arial"/>
          <w:sz w:val="20"/>
          <w:szCs w:val="20"/>
        </w:rPr>
        <w:t>Cell.: 335 5698809</w:t>
      </w:r>
    </w:p>
    <w:sectPr w:rsidR="00407BA4" w:rsidRPr="00407BA4" w:rsidSect="00407BA4">
      <w:headerReference w:type="default" r:id="rId10"/>
      <w:footerReference w:type="even" r:id="rId11"/>
      <w:footerReference w:type="default" r:id="rId12"/>
      <w:headerReference w:type="first" r:id="rId13"/>
      <w:footerReference w:type="first" r:id="rId14"/>
      <w:pgSz w:w="11906" w:h="16838"/>
      <w:pgMar w:top="2836" w:right="1418" w:bottom="1701" w:left="2835" w:header="11" w:footer="1588" w:gutter="0"/>
      <w:pgNumType w:chapStyle="1" w:chapSep="colon"/>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D4E" w:rsidRDefault="00200D4E">
      <w:r>
        <w:separator/>
      </w:r>
    </w:p>
  </w:endnote>
  <w:endnote w:type="continuationSeparator" w:id="0">
    <w:p w:rsidR="00200D4E" w:rsidRDefault="0020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D94" w:rsidRDefault="00913D94" w:rsidP="00913D9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13D94" w:rsidRDefault="00913D9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D94" w:rsidRPr="00FE181E" w:rsidRDefault="00913D94" w:rsidP="00913D94">
    <w:pPr>
      <w:pStyle w:val="Pidipagina"/>
      <w:tabs>
        <w:tab w:val="clear" w:pos="4819"/>
        <w:tab w:val="left" w:pos="4840"/>
      </w:tabs>
      <w:ind w:left="-2268"/>
      <w:rPr>
        <w:rFonts w:ascii="Arial" w:hAnsi="Arial"/>
        <w:color w:val="4C4C4C"/>
        <w:sz w:val="12"/>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D94" w:rsidRPr="00795EB2" w:rsidRDefault="00913D94" w:rsidP="00913D94">
    <w:pPr>
      <w:pStyle w:val="Pidipagina"/>
      <w:jc w:val="center"/>
      <w:rPr>
        <w:rFonts w:ascii="Arial" w:hAnsi="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D4E" w:rsidRDefault="00200D4E">
      <w:r>
        <w:separator/>
      </w:r>
    </w:p>
  </w:footnote>
  <w:footnote w:type="continuationSeparator" w:id="0">
    <w:p w:rsidR="00200D4E" w:rsidRDefault="00200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D94" w:rsidRPr="00330040" w:rsidRDefault="00407BA4" w:rsidP="00913D94">
    <w:pPr>
      <w:pStyle w:val="Intestazione"/>
      <w:tabs>
        <w:tab w:val="clear" w:pos="9638"/>
      </w:tabs>
      <w:ind w:left="-1418" w:right="-1418"/>
    </w:pPr>
    <w:r>
      <w:rPr>
        <w:noProof/>
        <w:lang w:val="en-US" w:eastAsia="en-US"/>
      </w:rPr>
      <w:drawing>
        <wp:anchor distT="0" distB="0" distL="114300" distR="114300" simplePos="0" relativeHeight="251658240" behindDoc="1" locked="0" layoutInCell="1" allowOverlap="1">
          <wp:simplePos x="0" y="0"/>
          <wp:positionH relativeFrom="column">
            <wp:posOffset>-1800225</wp:posOffset>
          </wp:positionH>
          <wp:positionV relativeFrom="paragraph">
            <wp:posOffset>-5080</wp:posOffset>
          </wp:positionV>
          <wp:extent cx="7556500" cy="1689100"/>
          <wp:effectExtent l="0" t="0" r="6350" b="6350"/>
          <wp:wrapNone/>
          <wp:docPr id="60" name="Immagine 60" descr=":CI_ITALGA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CI_ITALGAS.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565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D94" w:rsidRPr="007D0E95" w:rsidRDefault="00407BA4" w:rsidP="00913D94">
    <w:pPr>
      <w:pStyle w:val="Intestazione"/>
    </w:pPr>
    <w:r>
      <w:rPr>
        <w:noProof/>
        <w:lang w:val="en-US" w:eastAsia="en-US"/>
      </w:rPr>
      <w:drawing>
        <wp:anchor distT="0" distB="0" distL="114300" distR="114300" simplePos="0" relativeHeight="251657216" behindDoc="1" locked="0" layoutInCell="1" allowOverlap="1">
          <wp:simplePos x="0" y="0"/>
          <wp:positionH relativeFrom="column">
            <wp:posOffset>-1799590</wp:posOffset>
          </wp:positionH>
          <wp:positionV relativeFrom="paragraph">
            <wp:posOffset>-5080</wp:posOffset>
          </wp:positionV>
          <wp:extent cx="7556500" cy="1689100"/>
          <wp:effectExtent l="0" t="0" r="6350" b="6350"/>
          <wp:wrapNone/>
          <wp:docPr id="59" name="Immagine 59" descr=":CI_ITALGA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CI_ITALGAS.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565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7BFA"/>
    <w:multiLevelType w:val="hybridMultilevel"/>
    <w:tmpl w:val="E99E0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B93A96"/>
    <w:multiLevelType w:val="hybridMultilevel"/>
    <w:tmpl w:val="7EEA500E"/>
    <w:lvl w:ilvl="0" w:tplc="CCBA8DC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4537B21"/>
    <w:multiLevelType w:val="hybridMultilevel"/>
    <w:tmpl w:val="7D743AE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D3122BB"/>
    <w:multiLevelType w:val="hybridMultilevel"/>
    <w:tmpl w:val="34E0BE26"/>
    <w:lvl w:ilvl="0" w:tplc="0410000B">
      <w:start w:val="1"/>
      <w:numFmt w:val="bullet"/>
      <w:lvlText w:val=""/>
      <w:lvlJc w:val="left"/>
      <w:pPr>
        <w:tabs>
          <w:tab w:val="num" w:pos="360"/>
        </w:tabs>
        <w:ind w:left="360" w:hanging="360"/>
      </w:pPr>
      <w:rPr>
        <w:rFonts w:ascii="Wingdings" w:hAnsi="Wingdings" w:hint="default"/>
      </w:rPr>
    </w:lvl>
    <w:lvl w:ilvl="1" w:tplc="264C94D8">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284633D3"/>
    <w:multiLevelType w:val="hybridMultilevel"/>
    <w:tmpl w:val="C96E32DE"/>
    <w:lvl w:ilvl="0" w:tplc="04090001">
      <w:start w:val="1"/>
      <w:numFmt w:val="bullet"/>
      <w:lvlText w:val=""/>
      <w:lvlJc w:val="left"/>
      <w:pPr>
        <w:ind w:left="5670" w:hanging="360"/>
      </w:pPr>
      <w:rPr>
        <w:rFonts w:ascii="Symbol" w:hAnsi="Symbol" w:hint="default"/>
      </w:rPr>
    </w:lvl>
    <w:lvl w:ilvl="1" w:tplc="04090003" w:tentative="1">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5">
    <w:nsid w:val="40011633"/>
    <w:multiLevelType w:val="hybridMultilevel"/>
    <w:tmpl w:val="A086A466"/>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6">
    <w:nsid w:val="45533DAF"/>
    <w:multiLevelType w:val="hybridMultilevel"/>
    <w:tmpl w:val="626AE554"/>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7">
    <w:nsid w:val="4D4B060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4F5D717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5C3064D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5F1C07B6"/>
    <w:multiLevelType w:val="hybridMultilevel"/>
    <w:tmpl w:val="FFB0962C"/>
    <w:lvl w:ilvl="0" w:tplc="00010410">
      <w:start w:val="1"/>
      <w:numFmt w:val="bullet"/>
      <w:lvlText w:val=""/>
      <w:lvlJc w:val="left"/>
      <w:pPr>
        <w:tabs>
          <w:tab w:val="num" w:pos="1571"/>
        </w:tabs>
        <w:ind w:left="1571" w:hanging="360"/>
      </w:pPr>
      <w:rPr>
        <w:rFonts w:ascii="Symbol" w:hAnsi="Symbol" w:hint="default"/>
      </w:rPr>
    </w:lvl>
    <w:lvl w:ilvl="1" w:tplc="00030410" w:tentative="1">
      <w:start w:val="1"/>
      <w:numFmt w:val="bullet"/>
      <w:lvlText w:val="o"/>
      <w:lvlJc w:val="left"/>
      <w:pPr>
        <w:tabs>
          <w:tab w:val="num" w:pos="2291"/>
        </w:tabs>
        <w:ind w:left="2291" w:hanging="360"/>
      </w:pPr>
      <w:rPr>
        <w:rFonts w:ascii="Courier New" w:hAnsi="Courier New" w:hint="default"/>
      </w:rPr>
    </w:lvl>
    <w:lvl w:ilvl="2" w:tplc="00050410" w:tentative="1">
      <w:start w:val="1"/>
      <w:numFmt w:val="bullet"/>
      <w:lvlText w:val=""/>
      <w:lvlJc w:val="left"/>
      <w:pPr>
        <w:tabs>
          <w:tab w:val="num" w:pos="3011"/>
        </w:tabs>
        <w:ind w:left="3011" w:hanging="360"/>
      </w:pPr>
      <w:rPr>
        <w:rFonts w:ascii="Wingdings" w:hAnsi="Wingdings" w:hint="default"/>
      </w:rPr>
    </w:lvl>
    <w:lvl w:ilvl="3" w:tplc="00010410" w:tentative="1">
      <w:start w:val="1"/>
      <w:numFmt w:val="bullet"/>
      <w:lvlText w:val=""/>
      <w:lvlJc w:val="left"/>
      <w:pPr>
        <w:tabs>
          <w:tab w:val="num" w:pos="3731"/>
        </w:tabs>
        <w:ind w:left="3731" w:hanging="360"/>
      </w:pPr>
      <w:rPr>
        <w:rFonts w:ascii="Symbol" w:hAnsi="Symbol" w:hint="default"/>
      </w:rPr>
    </w:lvl>
    <w:lvl w:ilvl="4" w:tplc="00030410" w:tentative="1">
      <w:start w:val="1"/>
      <w:numFmt w:val="bullet"/>
      <w:lvlText w:val="o"/>
      <w:lvlJc w:val="left"/>
      <w:pPr>
        <w:tabs>
          <w:tab w:val="num" w:pos="4451"/>
        </w:tabs>
        <w:ind w:left="4451" w:hanging="360"/>
      </w:pPr>
      <w:rPr>
        <w:rFonts w:ascii="Courier New" w:hAnsi="Courier New" w:hint="default"/>
      </w:rPr>
    </w:lvl>
    <w:lvl w:ilvl="5" w:tplc="00050410" w:tentative="1">
      <w:start w:val="1"/>
      <w:numFmt w:val="bullet"/>
      <w:lvlText w:val=""/>
      <w:lvlJc w:val="left"/>
      <w:pPr>
        <w:tabs>
          <w:tab w:val="num" w:pos="5171"/>
        </w:tabs>
        <w:ind w:left="5171" w:hanging="360"/>
      </w:pPr>
      <w:rPr>
        <w:rFonts w:ascii="Wingdings" w:hAnsi="Wingdings" w:hint="default"/>
      </w:rPr>
    </w:lvl>
    <w:lvl w:ilvl="6" w:tplc="00010410" w:tentative="1">
      <w:start w:val="1"/>
      <w:numFmt w:val="bullet"/>
      <w:lvlText w:val=""/>
      <w:lvlJc w:val="left"/>
      <w:pPr>
        <w:tabs>
          <w:tab w:val="num" w:pos="5891"/>
        </w:tabs>
        <w:ind w:left="5891" w:hanging="360"/>
      </w:pPr>
      <w:rPr>
        <w:rFonts w:ascii="Symbol" w:hAnsi="Symbol" w:hint="default"/>
      </w:rPr>
    </w:lvl>
    <w:lvl w:ilvl="7" w:tplc="00030410" w:tentative="1">
      <w:start w:val="1"/>
      <w:numFmt w:val="bullet"/>
      <w:lvlText w:val="o"/>
      <w:lvlJc w:val="left"/>
      <w:pPr>
        <w:tabs>
          <w:tab w:val="num" w:pos="6611"/>
        </w:tabs>
        <w:ind w:left="6611" w:hanging="360"/>
      </w:pPr>
      <w:rPr>
        <w:rFonts w:ascii="Courier New" w:hAnsi="Courier New" w:hint="default"/>
      </w:rPr>
    </w:lvl>
    <w:lvl w:ilvl="8" w:tplc="00050410" w:tentative="1">
      <w:start w:val="1"/>
      <w:numFmt w:val="bullet"/>
      <w:lvlText w:val=""/>
      <w:lvlJc w:val="left"/>
      <w:pPr>
        <w:tabs>
          <w:tab w:val="num" w:pos="7331"/>
        </w:tabs>
        <w:ind w:left="7331" w:hanging="360"/>
      </w:pPr>
      <w:rPr>
        <w:rFonts w:ascii="Wingdings" w:hAnsi="Wingdings" w:hint="default"/>
      </w:rPr>
    </w:lvl>
  </w:abstractNum>
  <w:abstractNum w:abstractNumId="11">
    <w:nsid w:val="643517D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6AFF77F4"/>
    <w:multiLevelType w:val="singleLevel"/>
    <w:tmpl w:val="0410000F"/>
    <w:lvl w:ilvl="0">
      <w:start w:val="1"/>
      <w:numFmt w:val="decimal"/>
      <w:lvlText w:val="%1."/>
      <w:lvlJc w:val="left"/>
      <w:pPr>
        <w:tabs>
          <w:tab w:val="num" w:pos="360"/>
        </w:tabs>
        <w:ind w:left="360" w:hanging="360"/>
      </w:pPr>
      <w:rPr>
        <w:rFonts w:hint="default"/>
      </w:rPr>
    </w:lvl>
  </w:abstractNum>
  <w:abstractNum w:abstractNumId="13">
    <w:nsid w:val="6C3631EA"/>
    <w:multiLevelType w:val="hybridMultilevel"/>
    <w:tmpl w:val="345AD90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11"/>
  </w:num>
  <w:num w:numId="4">
    <w:abstractNumId w:val="7"/>
  </w:num>
  <w:num w:numId="5">
    <w:abstractNumId w:val="8"/>
  </w:num>
  <w:num w:numId="6">
    <w:abstractNumId w:val="3"/>
  </w:num>
  <w:num w:numId="7">
    <w:abstractNumId w:val="2"/>
  </w:num>
  <w:num w:numId="8">
    <w:abstractNumId w:val="13"/>
  </w:num>
  <w:num w:numId="9">
    <w:abstractNumId w:val="1"/>
  </w:num>
  <w:num w:numId="10">
    <w:abstractNumId w:val="10"/>
  </w:num>
  <w:num w:numId="11">
    <w:abstractNumId w:val="6"/>
  </w:num>
  <w:num w:numId="12">
    <w:abstractNumId w:val="5"/>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2" w:checkStyle="1"/>
  <w:activeWritingStyle w:appName="MSWord" w:lang="it-IT" w:vendorID="3" w:dllVersion="517" w:checkStyle="1"/>
  <w:activeWritingStyle w:appName="MSWord" w:lang="fr-FR" w:vendorID="9" w:dllVersion="512" w:checkStyle="1"/>
  <w:activeWritingStyle w:appName="MSWord" w:lang="de-DE" w:vendorID="9" w:dllVersion="512" w:checkStyle="1"/>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A4"/>
    <w:rsid w:val="000B2E0C"/>
    <w:rsid w:val="001D333F"/>
    <w:rsid w:val="001F535C"/>
    <w:rsid w:val="00200D4E"/>
    <w:rsid w:val="003D5B7A"/>
    <w:rsid w:val="00407BA4"/>
    <w:rsid w:val="00483626"/>
    <w:rsid w:val="0077388A"/>
    <w:rsid w:val="00913D94"/>
    <w:rsid w:val="00962217"/>
    <w:rsid w:val="00A61A81"/>
    <w:rsid w:val="00C4505E"/>
    <w:rsid w:val="00CA4C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color w:val="000080"/>
      <w:sz w:val="18"/>
    </w:rPr>
  </w:style>
  <w:style w:type="paragraph" w:styleId="Titolo2">
    <w:name w:val="heading 2"/>
    <w:basedOn w:val="Normale"/>
    <w:next w:val="Normale"/>
    <w:qFormat/>
    <w:pPr>
      <w:keepNext/>
      <w:outlineLvl w:val="1"/>
    </w:pPr>
    <w:rPr>
      <w:rFonts w:ascii="Arial" w:hAnsi="Arial"/>
      <w:b/>
      <w:sz w:val="18"/>
    </w:rPr>
  </w:style>
  <w:style w:type="paragraph" w:styleId="Titolo3">
    <w:name w:val="heading 3"/>
    <w:basedOn w:val="Normale"/>
    <w:next w:val="Normale"/>
    <w:qFormat/>
    <w:pPr>
      <w:keepNext/>
      <w:jc w:val="right"/>
      <w:outlineLvl w:val="2"/>
    </w:pPr>
    <w:rPr>
      <w:sz w:val="24"/>
    </w:rPr>
  </w:style>
  <w:style w:type="paragraph" w:styleId="Titolo4">
    <w:name w:val="heading 4"/>
    <w:basedOn w:val="Normale"/>
    <w:next w:val="Normale"/>
    <w:qFormat/>
    <w:pPr>
      <w:keepNext/>
      <w:spacing w:after="60"/>
      <w:outlineLvl w:val="3"/>
    </w:pPr>
    <w:rPr>
      <w:sz w:val="24"/>
    </w:rPr>
  </w:style>
  <w:style w:type="paragraph" w:styleId="Titolo5">
    <w:name w:val="heading 5"/>
    <w:basedOn w:val="Normale"/>
    <w:next w:val="Normale"/>
    <w:qFormat/>
    <w:pPr>
      <w:keepNext/>
      <w:ind w:left="5812"/>
      <w:outlineLvl w:val="4"/>
    </w:pPr>
    <w:rPr>
      <w:sz w:val="24"/>
      <w:szCs w:val="24"/>
    </w:rPr>
  </w:style>
  <w:style w:type="paragraph" w:styleId="Titolo6">
    <w:name w:val="heading 6"/>
    <w:basedOn w:val="Normale"/>
    <w:next w:val="Normale"/>
    <w:qFormat/>
    <w:pPr>
      <w:keepNext/>
      <w:outlineLvl w:val="5"/>
    </w:pPr>
    <w:rPr>
      <w:b/>
      <w:bCs/>
      <w:sz w:val="24"/>
    </w:rPr>
  </w:style>
  <w:style w:type="paragraph" w:styleId="Titolo7">
    <w:name w:val="heading 7"/>
    <w:basedOn w:val="Normale"/>
    <w:next w:val="Normale"/>
    <w:qFormat/>
    <w:pPr>
      <w:keepNext/>
      <w:spacing w:after="40"/>
      <w:ind w:left="8460" w:right="-2903"/>
      <w:jc w:val="both"/>
      <w:outlineLvl w:val="6"/>
    </w:pPr>
    <w:rPr>
      <w:sz w:val="28"/>
      <w:szCs w:val="24"/>
    </w:rPr>
  </w:style>
  <w:style w:type="paragraph" w:styleId="Titolo8">
    <w:name w:val="heading 8"/>
    <w:basedOn w:val="Normale"/>
    <w:next w:val="Normale"/>
    <w:qFormat/>
    <w:pPr>
      <w:keepNext/>
      <w:spacing w:before="120" w:after="120"/>
      <w:jc w:val="both"/>
      <w:outlineLvl w:val="7"/>
    </w:pPr>
    <w:rPr>
      <w:sz w:val="24"/>
    </w:rPr>
  </w:style>
  <w:style w:type="paragraph" w:styleId="Titolo9">
    <w:name w:val="heading 9"/>
    <w:basedOn w:val="Normale"/>
    <w:next w:val="Normale"/>
    <w:qFormat/>
    <w:pPr>
      <w:keepNext/>
      <w:spacing w:after="120"/>
      <w:ind w:left="6237"/>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3">
    <w:name w:val="Body Text 3"/>
    <w:basedOn w:val="Normale"/>
    <w:pPr>
      <w:jc w:val="both"/>
    </w:pPr>
    <w:rPr>
      <w:rFonts w:ascii="Arial" w:hAnsi="Arial"/>
      <w:sz w:val="24"/>
    </w:rPr>
  </w:style>
  <w:style w:type="paragraph" w:styleId="Corpotesto">
    <w:name w:val="Body Text"/>
    <w:basedOn w:val="Normale"/>
    <w:pPr>
      <w:jc w:val="both"/>
    </w:pPr>
    <w:rPr>
      <w:sz w:val="24"/>
    </w:rPr>
  </w:style>
  <w:style w:type="paragraph" w:styleId="Corpodeltesto2">
    <w:name w:val="Body Text 2"/>
    <w:basedOn w:val="Normale"/>
    <w:pPr>
      <w:jc w:val="both"/>
    </w:pPr>
    <w:rPr>
      <w:rFonts w:ascii="Tahoma" w:hAnsi="Tahoma" w:cs="Tahoma"/>
      <w:i/>
      <w:iCs/>
      <w:sz w:val="28"/>
      <w:szCs w:val="24"/>
    </w:rPr>
  </w:style>
  <w:style w:type="character" w:styleId="Collegamentoipertestuale">
    <w:name w:val="Hyperlink"/>
    <w:rPr>
      <w:color w:val="0000FF"/>
      <w:u w:val="single"/>
    </w:rPr>
  </w:style>
  <w:style w:type="paragraph" w:styleId="Testonormale">
    <w:name w:val="Plain Text"/>
    <w:basedOn w:val="Normale"/>
    <w:rPr>
      <w:rFonts w:ascii="Courier New" w:hAnsi="Courier New" w:cs="Courier New"/>
    </w:rPr>
  </w:style>
  <w:style w:type="character" w:styleId="Collegamentovisitato">
    <w:name w:val="FollowedHyperlink"/>
    <w:rPr>
      <w:color w:val="800080"/>
      <w:u w:val="single"/>
    </w:rPr>
  </w:style>
  <w:style w:type="character" w:styleId="Numeropagina">
    <w:name w:val="page number"/>
    <w:basedOn w:val="Carpredefinitoparagrafo"/>
    <w:rsid w:val="00171335"/>
  </w:style>
  <w:style w:type="paragraph" w:styleId="Paragrafoelenco">
    <w:name w:val="List Paragraph"/>
    <w:basedOn w:val="Normale"/>
    <w:uiPriority w:val="34"/>
    <w:qFormat/>
    <w:rsid w:val="00407BA4"/>
    <w:pPr>
      <w:spacing w:after="200" w:line="276" w:lineRule="auto"/>
      <w:ind w:left="720"/>
      <w:contextualSpacing/>
    </w:pPr>
    <w:rPr>
      <w:rFonts w:ascii="Calibri" w:hAnsi="Calibri"/>
      <w:sz w:val="22"/>
      <w:szCs w:val="22"/>
      <w:lang w:val="en-US" w:eastAsia="en-US"/>
    </w:rPr>
  </w:style>
  <w:style w:type="paragraph" w:styleId="Testofumetto">
    <w:name w:val="Balloon Text"/>
    <w:basedOn w:val="Normale"/>
    <w:link w:val="TestofumettoCarattere"/>
    <w:rsid w:val="00A61A81"/>
    <w:rPr>
      <w:rFonts w:ascii="Tahoma" w:hAnsi="Tahoma" w:cs="Tahoma"/>
      <w:sz w:val="16"/>
      <w:szCs w:val="16"/>
    </w:rPr>
  </w:style>
  <w:style w:type="character" w:customStyle="1" w:styleId="TestofumettoCarattere">
    <w:name w:val="Testo fumetto Carattere"/>
    <w:basedOn w:val="Carpredefinitoparagrafo"/>
    <w:link w:val="Testofumetto"/>
    <w:rsid w:val="00A61A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color w:val="000080"/>
      <w:sz w:val="18"/>
    </w:rPr>
  </w:style>
  <w:style w:type="paragraph" w:styleId="Titolo2">
    <w:name w:val="heading 2"/>
    <w:basedOn w:val="Normale"/>
    <w:next w:val="Normale"/>
    <w:qFormat/>
    <w:pPr>
      <w:keepNext/>
      <w:outlineLvl w:val="1"/>
    </w:pPr>
    <w:rPr>
      <w:rFonts w:ascii="Arial" w:hAnsi="Arial"/>
      <w:b/>
      <w:sz w:val="18"/>
    </w:rPr>
  </w:style>
  <w:style w:type="paragraph" w:styleId="Titolo3">
    <w:name w:val="heading 3"/>
    <w:basedOn w:val="Normale"/>
    <w:next w:val="Normale"/>
    <w:qFormat/>
    <w:pPr>
      <w:keepNext/>
      <w:jc w:val="right"/>
      <w:outlineLvl w:val="2"/>
    </w:pPr>
    <w:rPr>
      <w:sz w:val="24"/>
    </w:rPr>
  </w:style>
  <w:style w:type="paragraph" w:styleId="Titolo4">
    <w:name w:val="heading 4"/>
    <w:basedOn w:val="Normale"/>
    <w:next w:val="Normale"/>
    <w:qFormat/>
    <w:pPr>
      <w:keepNext/>
      <w:spacing w:after="60"/>
      <w:outlineLvl w:val="3"/>
    </w:pPr>
    <w:rPr>
      <w:sz w:val="24"/>
    </w:rPr>
  </w:style>
  <w:style w:type="paragraph" w:styleId="Titolo5">
    <w:name w:val="heading 5"/>
    <w:basedOn w:val="Normale"/>
    <w:next w:val="Normale"/>
    <w:qFormat/>
    <w:pPr>
      <w:keepNext/>
      <w:ind w:left="5812"/>
      <w:outlineLvl w:val="4"/>
    </w:pPr>
    <w:rPr>
      <w:sz w:val="24"/>
      <w:szCs w:val="24"/>
    </w:rPr>
  </w:style>
  <w:style w:type="paragraph" w:styleId="Titolo6">
    <w:name w:val="heading 6"/>
    <w:basedOn w:val="Normale"/>
    <w:next w:val="Normale"/>
    <w:qFormat/>
    <w:pPr>
      <w:keepNext/>
      <w:outlineLvl w:val="5"/>
    </w:pPr>
    <w:rPr>
      <w:b/>
      <w:bCs/>
      <w:sz w:val="24"/>
    </w:rPr>
  </w:style>
  <w:style w:type="paragraph" w:styleId="Titolo7">
    <w:name w:val="heading 7"/>
    <w:basedOn w:val="Normale"/>
    <w:next w:val="Normale"/>
    <w:qFormat/>
    <w:pPr>
      <w:keepNext/>
      <w:spacing w:after="40"/>
      <w:ind w:left="8460" w:right="-2903"/>
      <w:jc w:val="both"/>
      <w:outlineLvl w:val="6"/>
    </w:pPr>
    <w:rPr>
      <w:sz w:val="28"/>
      <w:szCs w:val="24"/>
    </w:rPr>
  </w:style>
  <w:style w:type="paragraph" w:styleId="Titolo8">
    <w:name w:val="heading 8"/>
    <w:basedOn w:val="Normale"/>
    <w:next w:val="Normale"/>
    <w:qFormat/>
    <w:pPr>
      <w:keepNext/>
      <w:spacing w:before="120" w:after="120"/>
      <w:jc w:val="both"/>
      <w:outlineLvl w:val="7"/>
    </w:pPr>
    <w:rPr>
      <w:sz w:val="24"/>
    </w:rPr>
  </w:style>
  <w:style w:type="paragraph" w:styleId="Titolo9">
    <w:name w:val="heading 9"/>
    <w:basedOn w:val="Normale"/>
    <w:next w:val="Normale"/>
    <w:qFormat/>
    <w:pPr>
      <w:keepNext/>
      <w:spacing w:after="120"/>
      <w:ind w:left="6237"/>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3">
    <w:name w:val="Body Text 3"/>
    <w:basedOn w:val="Normale"/>
    <w:pPr>
      <w:jc w:val="both"/>
    </w:pPr>
    <w:rPr>
      <w:rFonts w:ascii="Arial" w:hAnsi="Arial"/>
      <w:sz w:val="24"/>
    </w:rPr>
  </w:style>
  <w:style w:type="paragraph" w:styleId="Corpotesto">
    <w:name w:val="Body Text"/>
    <w:basedOn w:val="Normale"/>
    <w:pPr>
      <w:jc w:val="both"/>
    </w:pPr>
    <w:rPr>
      <w:sz w:val="24"/>
    </w:rPr>
  </w:style>
  <w:style w:type="paragraph" w:styleId="Corpodeltesto2">
    <w:name w:val="Body Text 2"/>
    <w:basedOn w:val="Normale"/>
    <w:pPr>
      <w:jc w:val="both"/>
    </w:pPr>
    <w:rPr>
      <w:rFonts w:ascii="Tahoma" w:hAnsi="Tahoma" w:cs="Tahoma"/>
      <w:i/>
      <w:iCs/>
      <w:sz w:val="28"/>
      <w:szCs w:val="24"/>
    </w:rPr>
  </w:style>
  <w:style w:type="character" w:styleId="Collegamentoipertestuale">
    <w:name w:val="Hyperlink"/>
    <w:rPr>
      <w:color w:val="0000FF"/>
      <w:u w:val="single"/>
    </w:rPr>
  </w:style>
  <w:style w:type="paragraph" w:styleId="Testonormale">
    <w:name w:val="Plain Text"/>
    <w:basedOn w:val="Normale"/>
    <w:rPr>
      <w:rFonts w:ascii="Courier New" w:hAnsi="Courier New" w:cs="Courier New"/>
    </w:rPr>
  </w:style>
  <w:style w:type="character" w:styleId="Collegamentovisitato">
    <w:name w:val="FollowedHyperlink"/>
    <w:rPr>
      <w:color w:val="800080"/>
      <w:u w:val="single"/>
    </w:rPr>
  </w:style>
  <w:style w:type="character" w:styleId="Numeropagina">
    <w:name w:val="page number"/>
    <w:basedOn w:val="Carpredefinitoparagrafo"/>
    <w:rsid w:val="00171335"/>
  </w:style>
  <w:style w:type="paragraph" w:styleId="Paragrafoelenco">
    <w:name w:val="List Paragraph"/>
    <w:basedOn w:val="Normale"/>
    <w:uiPriority w:val="34"/>
    <w:qFormat/>
    <w:rsid w:val="00407BA4"/>
    <w:pPr>
      <w:spacing w:after="200" w:line="276" w:lineRule="auto"/>
      <w:ind w:left="720"/>
      <w:contextualSpacing/>
    </w:pPr>
    <w:rPr>
      <w:rFonts w:ascii="Calibri" w:hAnsi="Calibri"/>
      <w:sz w:val="22"/>
      <w:szCs w:val="22"/>
      <w:lang w:val="en-US" w:eastAsia="en-US"/>
    </w:rPr>
  </w:style>
  <w:style w:type="paragraph" w:styleId="Testofumetto">
    <w:name w:val="Balloon Text"/>
    <w:basedOn w:val="Normale"/>
    <w:link w:val="TestofumettoCarattere"/>
    <w:rsid w:val="00A61A81"/>
    <w:rPr>
      <w:rFonts w:ascii="Tahoma" w:hAnsi="Tahoma" w:cs="Tahoma"/>
      <w:sz w:val="16"/>
      <w:szCs w:val="16"/>
    </w:rPr>
  </w:style>
  <w:style w:type="character" w:customStyle="1" w:styleId="TestofumettoCarattere">
    <w:name w:val="Testo fumetto Carattere"/>
    <w:basedOn w:val="Carpredefinitoparagrafo"/>
    <w:link w:val="Testofumetto"/>
    <w:rsid w:val="00A61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_ITALGAS.jpg"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CI_ITALGAS.jpg"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50638\Desktop\carta_intestata_per_interno_ITALGAS.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carta_intestata_per_interno_ITALGAS</Template>
  <TotalTime>0</TotalTime>
  <Pages>2</Pages>
  <Words>482</Words>
  <Characters>2752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Carta Intestata</vt:lpstr>
    </vt:vector>
  </TitlesOfParts>
  <Company>TTS Italia</Company>
  <LinksUpToDate>false</LinksUpToDate>
  <CharactersWithSpaces>3228</CharactersWithSpaces>
  <SharedDoc>false</SharedDoc>
  <HLinks>
    <vt:vector size="12" baseType="variant">
      <vt:variant>
        <vt:i4>1769509</vt:i4>
      </vt:variant>
      <vt:variant>
        <vt:i4>-1</vt:i4>
      </vt:variant>
      <vt:variant>
        <vt:i4>2107</vt:i4>
      </vt:variant>
      <vt:variant>
        <vt:i4>1</vt:i4>
      </vt:variant>
      <vt:variant>
        <vt:lpwstr>:CI_ITALGAS.jpg</vt:lpwstr>
      </vt:variant>
      <vt:variant>
        <vt:lpwstr/>
      </vt:variant>
      <vt:variant>
        <vt:i4>1769509</vt:i4>
      </vt:variant>
      <vt:variant>
        <vt:i4>-1</vt:i4>
      </vt:variant>
      <vt:variant>
        <vt:i4>2108</vt:i4>
      </vt:variant>
      <vt:variant>
        <vt:i4>1</vt:i4>
      </vt:variant>
      <vt:variant>
        <vt:lpwstr>:CI_ITALGAS.jpg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subject>TTS Italia</dc:subject>
  <dc:creator>Lastella Grazia</dc:creator>
  <cp:lastModifiedBy>Snam Rete Gas</cp:lastModifiedBy>
  <cp:revision>2</cp:revision>
  <cp:lastPrinted>2016-05-04T15:52:00Z</cp:lastPrinted>
  <dcterms:created xsi:type="dcterms:W3CDTF">2016-05-06T13:44:00Z</dcterms:created>
  <dcterms:modified xsi:type="dcterms:W3CDTF">2016-05-06T13:44:00Z</dcterms:modified>
</cp:coreProperties>
</file>