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C5" w:rsidRDefault="007D40C5" w:rsidP="00735749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5633E" w:rsidRDefault="0005633E" w:rsidP="00735749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5633E" w:rsidRDefault="0005633E" w:rsidP="00735749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481457" w:rsidRPr="00481457" w:rsidRDefault="00481457" w:rsidP="00481457">
      <w:pPr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481457">
        <w:rPr>
          <w:rFonts w:ascii="Verdana" w:hAnsi="Verdana" w:cs="Verdana"/>
          <w:bCs/>
          <w:color w:val="000000"/>
          <w:sz w:val="20"/>
          <w:szCs w:val="20"/>
        </w:rPr>
        <w:t xml:space="preserve">American Express, leader nell'ambito delle soluzioni di pagamento, può supportare la sua Azienda nelle attività di gestione dei flussi di cassa e ottimizzazione del capitale circolante. </w:t>
      </w:r>
    </w:p>
    <w:p w:rsidR="00475F3A" w:rsidRDefault="00481457" w:rsidP="00481457">
      <w:pPr>
        <w:pStyle w:val="Pa8"/>
        <w:spacing w:line="240" w:lineRule="auto"/>
        <w:jc w:val="both"/>
        <w:rPr>
          <w:rFonts w:ascii="Verdana" w:eastAsiaTheme="minorEastAsia" w:hAnsi="Verdana" w:cs="Verdana"/>
          <w:bCs/>
          <w:color w:val="000000"/>
          <w:sz w:val="20"/>
          <w:szCs w:val="20"/>
        </w:rPr>
      </w:pPr>
      <w:r w:rsidRPr="00481457">
        <w:rPr>
          <w:rFonts w:ascii="Verdana" w:eastAsiaTheme="minorEastAsia" w:hAnsi="Verdana" w:cs="Verdana"/>
          <w:bCs/>
          <w:color w:val="000000"/>
          <w:sz w:val="20"/>
          <w:szCs w:val="20"/>
        </w:rPr>
        <w:t xml:space="preserve">Gli associati possono scegliere una soluzione a condizioni </w:t>
      </w:r>
      <w:r w:rsidR="00E156BC">
        <w:rPr>
          <w:rFonts w:ascii="Verdana" w:eastAsiaTheme="minorEastAsia" w:hAnsi="Verdana" w:cs="Verdana"/>
          <w:bCs/>
          <w:color w:val="000000"/>
          <w:sz w:val="20"/>
          <w:szCs w:val="20"/>
        </w:rPr>
        <w:t>esclusive:</w:t>
      </w:r>
    </w:p>
    <w:p w:rsidR="00481457" w:rsidRPr="00481457" w:rsidRDefault="00481457" w:rsidP="00481457">
      <w:pPr>
        <w:pStyle w:val="Pa8"/>
        <w:spacing w:line="240" w:lineRule="auto"/>
        <w:jc w:val="both"/>
        <w:rPr>
          <w:rFonts w:ascii="Verdana" w:eastAsiaTheme="minorEastAsia" w:hAnsi="Verdana" w:cs="Verdana"/>
          <w:bCs/>
          <w:color w:val="000000"/>
          <w:sz w:val="20"/>
          <w:szCs w:val="20"/>
        </w:rPr>
      </w:pPr>
      <w:r w:rsidRPr="00481457">
        <w:rPr>
          <w:rFonts w:ascii="Verdana" w:eastAsiaTheme="minorEastAsia" w:hAnsi="Verdana" w:cs="Verdana"/>
          <w:bCs/>
          <w:color w:val="000000"/>
          <w:sz w:val="20"/>
          <w:szCs w:val="20"/>
        </w:rPr>
        <w:t xml:space="preserve"> </w:t>
      </w:r>
    </w:p>
    <w:p w:rsidR="00481457" w:rsidRDefault="00481457" w:rsidP="00E156BC">
      <w:pPr>
        <w:pStyle w:val="Pa8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eastAsiaTheme="minorEastAsia" w:hAnsi="Verdana" w:cs="Verdana"/>
          <w:bCs/>
          <w:color w:val="000000"/>
          <w:sz w:val="20"/>
          <w:szCs w:val="20"/>
        </w:rPr>
      </w:pPr>
      <w:r w:rsidRPr="00481457">
        <w:rPr>
          <w:rFonts w:ascii="Verdana" w:eastAsiaTheme="minorEastAsia" w:hAnsi="Verdana" w:cs="Verdana"/>
          <w:bCs/>
          <w:color w:val="000000"/>
          <w:sz w:val="20"/>
          <w:szCs w:val="20"/>
        </w:rPr>
        <w:t xml:space="preserve">Quota annuale gratuita per tutta la durata del contratto se viene domiciliata sulla carta almeno un’utenza (es. telefonia) per la Carta Aziendale Verde </w:t>
      </w:r>
    </w:p>
    <w:p w:rsidR="00475F3A" w:rsidRPr="00475F3A" w:rsidRDefault="00475F3A" w:rsidP="00475F3A"/>
    <w:p w:rsidR="0005633E" w:rsidRPr="00481457" w:rsidRDefault="00481457" w:rsidP="00E156BC">
      <w:pPr>
        <w:pStyle w:val="Pa8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eastAsiaTheme="minorEastAsia" w:hAnsi="Verdana" w:cs="Verdana"/>
          <w:bCs/>
          <w:color w:val="000000"/>
          <w:sz w:val="20"/>
          <w:szCs w:val="20"/>
        </w:rPr>
      </w:pPr>
      <w:r w:rsidRPr="00481457">
        <w:rPr>
          <w:rFonts w:ascii="Verdana" w:eastAsiaTheme="minorEastAsia" w:hAnsi="Verdana" w:cs="Verdana"/>
          <w:bCs/>
          <w:color w:val="000000"/>
          <w:sz w:val="20"/>
          <w:szCs w:val="20"/>
        </w:rPr>
        <w:t>Quota annuale gratuita per i primi 12 mesi di validità dall’emissione per la Carta Aziendale Oro e riduzione del 50% sull’importo dovuto per gli anni successivi</w:t>
      </w:r>
    </w:p>
    <w:p w:rsidR="00481457" w:rsidRDefault="00481457" w:rsidP="00481457">
      <w:pPr>
        <w:ind w:left="-60"/>
        <w:jc w:val="both"/>
        <w:rPr>
          <w:rFonts w:ascii="Verdana" w:hAnsi="Verdana" w:cs="Verdana"/>
        </w:rPr>
      </w:pPr>
    </w:p>
    <w:p w:rsidR="00481457" w:rsidRDefault="00481457">
      <w:pPr>
        <w:spacing w:before="30" w:after="15"/>
        <w:ind w:left="-60"/>
        <w:rPr>
          <w:rFonts w:ascii="Verdana" w:hAnsi="Verdana" w:cs="Verdana"/>
        </w:rPr>
      </w:pPr>
    </w:p>
    <w:p w:rsidR="00481457" w:rsidRDefault="00481457">
      <w:pPr>
        <w:spacing w:before="30" w:after="15"/>
        <w:ind w:left="-60"/>
        <w:rPr>
          <w:rFonts w:ascii="Verdana" w:hAnsi="Verdana" w:cs="Verdana"/>
        </w:rPr>
      </w:pPr>
    </w:p>
    <w:p w:rsidR="00481457" w:rsidRDefault="00481457">
      <w:pPr>
        <w:spacing w:before="30" w:after="15"/>
        <w:ind w:left="-60"/>
        <w:rPr>
          <w:rFonts w:ascii="Verdana" w:hAnsi="Verdana" w:cs="Verdana"/>
        </w:rPr>
      </w:pPr>
    </w:p>
    <w:p w:rsidR="00481457" w:rsidRDefault="00481457">
      <w:pPr>
        <w:spacing w:before="30" w:after="15"/>
        <w:ind w:left="-60"/>
        <w:rPr>
          <w:rFonts w:ascii="Verdana" w:hAnsi="Verdana" w:cs="Verdana"/>
        </w:rPr>
      </w:pPr>
    </w:p>
    <w:p w:rsidR="00481457" w:rsidRDefault="00481457">
      <w:pPr>
        <w:spacing w:before="30" w:after="15"/>
        <w:ind w:left="-60"/>
        <w:rPr>
          <w:rFonts w:ascii="Verdana" w:hAnsi="Verdana" w:cs="Verdana"/>
        </w:rPr>
      </w:pPr>
    </w:p>
    <w:p w:rsidR="00481457" w:rsidRDefault="00481457">
      <w:pPr>
        <w:spacing w:before="30" w:after="15"/>
        <w:ind w:left="-60"/>
        <w:rPr>
          <w:rFonts w:ascii="Verdana" w:hAnsi="Verdana" w:cs="Verdana"/>
        </w:rPr>
      </w:pPr>
    </w:p>
    <w:p w:rsidR="00481457" w:rsidRDefault="00481457">
      <w:pPr>
        <w:spacing w:before="30" w:after="15"/>
        <w:ind w:left="-60"/>
        <w:rPr>
          <w:rFonts w:ascii="Verdana" w:hAnsi="Verdana" w:cs="Verdana"/>
        </w:rPr>
      </w:pPr>
    </w:p>
    <w:p w:rsidR="00481457" w:rsidRDefault="00481457">
      <w:pPr>
        <w:spacing w:before="30" w:after="15"/>
        <w:ind w:left="-60"/>
        <w:rPr>
          <w:rFonts w:ascii="Verdana" w:hAnsi="Verdana" w:cs="Verdana"/>
        </w:rPr>
      </w:pPr>
    </w:p>
    <w:p w:rsidR="00481457" w:rsidRDefault="00481457">
      <w:pPr>
        <w:spacing w:before="30" w:after="15"/>
        <w:ind w:left="-60"/>
        <w:rPr>
          <w:rFonts w:ascii="Verdana" w:hAnsi="Verdana" w:cs="Verdana"/>
        </w:rPr>
      </w:pPr>
    </w:p>
    <w:p w:rsidR="00481457" w:rsidRDefault="00481457">
      <w:pPr>
        <w:spacing w:before="30" w:after="15"/>
        <w:ind w:left="-60"/>
        <w:rPr>
          <w:rFonts w:ascii="Verdana" w:hAnsi="Verdana" w:cs="Verdana"/>
        </w:rPr>
      </w:pPr>
    </w:p>
    <w:p w:rsidR="00481457" w:rsidRDefault="00481457">
      <w:pPr>
        <w:spacing w:before="30" w:after="15"/>
        <w:ind w:left="-60"/>
        <w:rPr>
          <w:rFonts w:ascii="Verdana" w:hAnsi="Verdana" w:cs="Verdana"/>
        </w:rPr>
      </w:pPr>
    </w:p>
    <w:sectPr w:rsidR="00481457" w:rsidSect="007D4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79" w:right="1826" w:bottom="2155" w:left="21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601" w:rsidRDefault="007B76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B7601" w:rsidRDefault="007B76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">
    <w:altName w:val="Akku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2686"/>
      <w:gridCol w:w="2687"/>
      <w:gridCol w:w="2687"/>
    </w:tblGrid>
    <w:tr w:rsidR="00481457" w:rsidTr="00481457">
      <w:tc>
        <w:tcPr>
          <w:tcW w:w="2686" w:type="dxa"/>
        </w:tcPr>
        <w:p w:rsidR="00481457" w:rsidRDefault="00481457" w:rsidP="00481457">
          <w:pPr>
            <w:pStyle w:val="Pidipagina"/>
          </w:pPr>
        </w:p>
      </w:tc>
      <w:tc>
        <w:tcPr>
          <w:tcW w:w="2687" w:type="dxa"/>
        </w:tcPr>
        <w:p w:rsidR="00481457" w:rsidRDefault="00481457" w:rsidP="00481457">
          <w:pPr>
            <w:pStyle w:val="Pidipagina"/>
            <w:jc w:val="center"/>
          </w:pPr>
        </w:p>
      </w:tc>
      <w:tc>
        <w:tcPr>
          <w:tcW w:w="2687" w:type="dxa"/>
        </w:tcPr>
        <w:p w:rsidR="00481457" w:rsidRDefault="00481457" w:rsidP="00481457">
          <w:pPr>
            <w:pStyle w:val="Pidipagina"/>
            <w:jc w:val="right"/>
          </w:pPr>
        </w:p>
      </w:tc>
    </w:tr>
  </w:tbl>
  <w:p w:rsidR="00481457" w:rsidRDefault="0048145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2686"/>
      <w:gridCol w:w="2687"/>
      <w:gridCol w:w="2687"/>
    </w:tblGrid>
    <w:tr w:rsidR="00481457" w:rsidTr="00481457">
      <w:tc>
        <w:tcPr>
          <w:tcW w:w="2686" w:type="dxa"/>
        </w:tcPr>
        <w:p w:rsidR="00481457" w:rsidRDefault="00481457" w:rsidP="00481457">
          <w:pPr>
            <w:pStyle w:val="Pidipagina"/>
          </w:pPr>
        </w:p>
      </w:tc>
      <w:tc>
        <w:tcPr>
          <w:tcW w:w="2687" w:type="dxa"/>
        </w:tcPr>
        <w:p w:rsidR="00481457" w:rsidRDefault="00481457" w:rsidP="00481457">
          <w:pPr>
            <w:pStyle w:val="Pidipagina"/>
            <w:jc w:val="center"/>
          </w:pPr>
        </w:p>
      </w:tc>
      <w:tc>
        <w:tcPr>
          <w:tcW w:w="2687" w:type="dxa"/>
        </w:tcPr>
        <w:p w:rsidR="00481457" w:rsidRDefault="00481457" w:rsidP="00481457">
          <w:pPr>
            <w:pStyle w:val="Pidipagina"/>
            <w:jc w:val="right"/>
          </w:pPr>
        </w:p>
      </w:tc>
    </w:tr>
  </w:tbl>
  <w:p w:rsidR="00481457" w:rsidRDefault="0048145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E5B" w:rsidRDefault="006E4E5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601" w:rsidRDefault="007B760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B7601" w:rsidRDefault="007B76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A9" w:rsidRDefault="00481457" w:rsidP="00105BA9">
    <w:pPr>
      <w:rPr>
        <w:rFonts w:ascii="Verdana" w:hAnsi="Verdana" w:cs="Verdana"/>
        <w:b/>
        <w:bCs/>
        <w:color w:val="000000"/>
        <w:sz w:val="20"/>
        <w:szCs w:val="20"/>
      </w:rPr>
    </w:pPr>
    <w:r w:rsidRPr="00481457">
      <w:rPr>
        <w:rFonts w:ascii="Verdana" w:hAnsi="Verdana" w:cs="Verdana"/>
        <w:b/>
        <w:bCs/>
        <w:noProof/>
        <w:sz w:val="36"/>
        <w:szCs w:val="36"/>
      </w:rPr>
      <w:drawing>
        <wp:inline distT="0" distB="0" distL="0" distR="0">
          <wp:extent cx="714375" cy="638175"/>
          <wp:effectExtent l="19050" t="0" r="9525" b="0"/>
          <wp:docPr id="2" name="Picture 1" descr="Amex-«BlueBox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ex-«BlueBoxGradien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D40C5">
      <w:rPr>
        <w:rFonts w:ascii="Verdana" w:hAnsi="Verdana" w:cs="Verdana"/>
        <w:b/>
        <w:bCs/>
        <w:sz w:val="36"/>
        <w:szCs w:val="36"/>
      </w:rPr>
      <w:tab/>
    </w:r>
    <w:r w:rsidR="007D40C5">
      <w:rPr>
        <w:rFonts w:ascii="Verdana" w:hAnsi="Verdana" w:cs="Verdana"/>
        <w:b/>
        <w:bCs/>
        <w:sz w:val="40"/>
        <w:szCs w:val="40"/>
      </w:rPr>
      <w:tab/>
    </w:r>
  </w:p>
  <w:p w:rsidR="007D40C5" w:rsidRDefault="007D40C5">
    <w:pPr>
      <w:pStyle w:val="Intestazione"/>
      <w:rPr>
        <w:rFonts w:cs="Times New Roman"/>
      </w:rPr>
    </w:pPr>
    <w:r>
      <w:rPr>
        <w:rFonts w:ascii="Verdana" w:hAnsi="Verdana" w:cs="Verdana"/>
        <w:b/>
        <w:bCs/>
        <w:color w:val="000000"/>
        <w:sz w:val="20"/>
        <w:szCs w:val="20"/>
      </w:rPr>
      <w:tab/>
    </w:r>
    <w:r>
      <w:rPr>
        <w:rFonts w:ascii="Verdana" w:hAnsi="Verdana" w:cs="Verdana"/>
        <w:b/>
        <w:bCs/>
        <w:color w:val="000000"/>
        <w:sz w:val="20"/>
        <w:szCs w:val="20"/>
      </w:rPr>
      <w:tab/>
    </w:r>
    <w:r>
      <w:rPr>
        <w:rFonts w:ascii="Verdana" w:hAnsi="Verdana" w:cs="Verdana"/>
        <w:b/>
        <w:bCs/>
        <w:color w:val="000000"/>
        <w:sz w:val="20"/>
        <w:szCs w:val="20"/>
      </w:rPr>
      <w:tab/>
    </w:r>
    <w:r>
      <w:rPr>
        <w:rFonts w:ascii="Verdana" w:hAnsi="Verdana" w:cs="Verdana"/>
        <w:b/>
        <w:bCs/>
        <w:color w:val="000000"/>
        <w:sz w:val="20"/>
        <w:szCs w:val="20"/>
      </w:rPr>
      <w:tab/>
    </w:r>
    <w:r>
      <w:rPr>
        <w:rFonts w:ascii="Verdana" w:hAnsi="Verdana" w:cs="Verdana"/>
        <w:b/>
        <w:bCs/>
        <w:color w:val="000000"/>
        <w:sz w:val="20"/>
        <w:szCs w:val="20"/>
      </w:rPr>
      <w:tab/>
    </w:r>
    <w:r>
      <w:rPr>
        <w:rFonts w:ascii="Verdana" w:hAnsi="Verdana" w:cs="Verdana"/>
        <w:b/>
        <w:bCs/>
        <w:color w:val="000000"/>
        <w:sz w:val="20"/>
        <w:szCs w:val="20"/>
      </w:rPr>
      <w:tab/>
    </w:r>
    <w:r>
      <w:rPr>
        <w:rFonts w:ascii="Verdana" w:hAnsi="Verdana" w:cs="Verdana"/>
        <w:b/>
        <w:bCs/>
        <w:color w:val="000000"/>
        <w:sz w:val="20"/>
        <w:szCs w:val="20"/>
      </w:rPr>
      <w:tab/>
      <w:t>risparmio medio: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57" w:rsidRPr="00FC0689" w:rsidRDefault="00481457" w:rsidP="00481457">
    <w:pPr>
      <w:pStyle w:val="Pa4"/>
      <w:rPr>
        <w:rFonts w:cs="Akkurat"/>
        <w:color w:val="002060"/>
        <w:sz w:val="18"/>
        <w:szCs w:val="18"/>
      </w:rPr>
    </w:pPr>
    <w:r w:rsidRPr="00481457">
      <w:rPr>
        <w:rFonts w:ascii="Verdana" w:hAnsi="Verdana" w:cs="Verdana"/>
        <w:b/>
        <w:bCs/>
        <w:noProof/>
        <w:sz w:val="40"/>
        <w:szCs w:val="40"/>
      </w:rPr>
      <w:drawing>
        <wp:inline distT="0" distB="0" distL="0" distR="0">
          <wp:extent cx="714375" cy="638175"/>
          <wp:effectExtent l="19050" t="0" r="9525" b="0"/>
          <wp:docPr id="1" name="Picture 1" descr="Amex-«BlueBox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ex-«BlueBoxGradien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D40C5">
      <w:rPr>
        <w:rFonts w:ascii="Verdana" w:hAnsi="Verdana" w:cs="Verdana"/>
        <w:b/>
        <w:bCs/>
        <w:sz w:val="40"/>
        <w:szCs w:val="40"/>
      </w:rPr>
      <w:tab/>
    </w:r>
    <w:r w:rsidR="00105BA9">
      <w:rPr>
        <w:rFonts w:ascii="Verdana" w:hAnsi="Verdana" w:cs="Verdana"/>
        <w:b/>
        <w:bCs/>
        <w:sz w:val="40"/>
        <w:szCs w:val="40"/>
      </w:rPr>
      <w:t xml:space="preserve">      </w:t>
    </w:r>
    <w:r w:rsidR="0005633E">
      <w:rPr>
        <w:rFonts w:ascii="Verdana" w:hAnsi="Verdana" w:cs="Verdana"/>
        <w:b/>
        <w:bCs/>
        <w:sz w:val="40"/>
        <w:szCs w:val="40"/>
      </w:rPr>
      <w:t xml:space="preserve">   </w:t>
    </w:r>
    <w:r>
      <w:rPr>
        <w:rFonts w:ascii="Verdana" w:hAnsi="Verdana" w:cs="Verdana"/>
        <w:b/>
        <w:bCs/>
        <w:sz w:val="40"/>
        <w:szCs w:val="40"/>
      </w:rPr>
      <w:t xml:space="preserve">                       </w:t>
    </w:r>
    <w:r w:rsidR="0005633E">
      <w:rPr>
        <w:rFonts w:ascii="Verdana" w:hAnsi="Verdana" w:cs="Verdana"/>
        <w:b/>
        <w:bCs/>
        <w:sz w:val="40"/>
        <w:szCs w:val="40"/>
      </w:rPr>
      <w:t xml:space="preserve"> </w:t>
    </w:r>
    <w:r w:rsidRPr="00FC0689">
      <w:rPr>
        <w:rStyle w:val="A1"/>
        <w:color w:val="002060"/>
      </w:rPr>
      <w:t xml:space="preserve">www.americanexpress.it </w:t>
    </w:r>
  </w:p>
  <w:p w:rsidR="007D40C5" w:rsidRDefault="007D40C5">
    <w:pPr>
      <w:rPr>
        <w:rFonts w:ascii="Verdana" w:hAnsi="Verdana" w:cs="Verdana"/>
        <w:b/>
        <w:bCs/>
      </w:rPr>
    </w:pPr>
  </w:p>
  <w:p w:rsidR="007D40C5" w:rsidRDefault="007D40C5">
    <w:pPr>
      <w:pStyle w:val="Intestazione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E5B" w:rsidRDefault="006E4E5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32BA"/>
    <w:multiLevelType w:val="hybridMultilevel"/>
    <w:tmpl w:val="78E430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926F6"/>
    <w:multiLevelType w:val="hybridMultilevel"/>
    <w:tmpl w:val="C4CA03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94651"/>
    <w:multiLevelType w:val="hybridMultilevel"/>
    <w:tmpl w:val="A9C0BB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BF44AC"/>
    <w:multiLevelType w:val="hybridMultilevel"/>
    <w:tmpl w:val="A9A00D22"/>
    <w:lvl w:ilvl="0" w:tplc="04100001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cs="Wingdings" w:hint="default"/>
      </w:rPr>
    </w:lvl>
  </w:abstractNum>
  <w:abstractNum w:abstractNumId="4">
    <w:nsid w:val="2B435B07"/>
    <w:multiLevelType w:val="hybridMultilevel"/>
    <w:tmpl w:val="E8AE131C"/>
    <w:lvl w:ilvl="0" w:tplc="50680E3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>
    <w:nsid w:val="30DD4DB4"/>
    <w:multiLevelType w:val="hybridMultilevel"/>
    <w:tmpl w:val="7826EA96"/>
    <w:lvl w:ilvl="0" w:tplc="0B74E7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AC272F"/>
    <w:multiLevelType w:val="hybridMultilevel"/>
    <w:tmpl w:val="EF761AB8"/>
    <w:lvl w:ilvl="0" w:tplc="933C0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9087F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DBE2F8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0FBE50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038092C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709A3A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42CCE9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0C22DB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CE3E974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4A207751"/>
    <w:multiLevelType w:val="hybridMultilevel"/>
    <w:tmpl w:val="5A04AA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1F0137"/>
    <w:multiLevelType w:val="hybridMultilevel"/>
    <w:tmpl w:val="A00C6C8A"/>
    <w:lvl w:ilvl="0" w:tplc="5D7E38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FA5D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9768E4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plc="E58842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plc="624C81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plc="DCF6885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plc="787EFA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plc="F3A0FB9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plc="4E34822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evenAndOddHeaders/>
  <w:characterSpacingControl w:val="doNotCompress"/>
  <w:doNotValidateAgainstSchema/>
  <w:doNotDemarcateInvalidXml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40C5"/>
    <w:rsid w:val="00023189"/>
    <w:rsid w:val="00030098"/>
    <w:rsid w:val="0005633E"/>
    <w:rsid w:val="000B7BC3"/>
    <w:rsid w:val="000D2DCE"/>
    <w:rsid w:val="00105BA9"/>
    <w:rsid w:val="00144B66"/>
    <w:rsid w:val="001F50BE"/>
    <w:rsid w:val="00313436"/>
    <w:rsid w:val="00344018"/>
    <w:rsid w:val="00475F3A"/>
    <w:rsid w:val="00481457"/>
    <w:rsid w:val="004A6F93"/>
    <w:rsid w:val="005E1A3C"/>
    <w:rsid w:val="005E7EA0"/>
    <w:rsid w:val="00612825"/>
    <w:rsid w:val="006E4E5B"/>
    <w:rsid w:val="00735749"/>
    <w:rsid w:val="007B7601"/>
    <w:rsid w:val="007D40C5"/>
    <w:rsid w:val="0096684D"/>
    <w:rsid w:val="00B64D96"/>
    <w:rsid w:val="00C46405"/>
    <w:rsid w:val="00CF0626"/>
    <w:rsid w:val="00D57C18"/>
    <w:rsid w:val="00E156BC"/>
    <w:rsid w:val="00E94D32"/>
    <w:rsid w:val="00F20CF2"/>
    <w:rsid w:val="00FB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7BC3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B7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BC3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B7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BC3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rsid w:val="000B7B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ipertestuale">
    <w:name w:val="Hyperlink"/>
    <w:basedOn w:val="Carpredefinitoparagrafo"/>
    <w:uiPriority w:val="99"/>
    <w:rsid w:val="000B7BC3"/>
    <w:rPr>
      <w:rFonts w:ascii="Times New Roman" w:hAnsi="Times New Roman"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0B7BC3"/>
    <w:pPr>
      <w:jc w:val="both"/>
    </w:pPr>
    <w:rPr>
      <w:rFonts w:ascii="Verdana" w:eastAsia="Arial Unicode MS" w:hAnsi="Verdana" w:cs="Verdana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0B7BC3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0B7B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0B7BC3"/>
    <w:rPr>
      <w:rFonts w:ascii="Tahoma" w:hAnsi="Tahoma" w:cs="Tahoma"/>
      <w:sz w:val="16"/>
      <w:szCs w:val="16"/>
    </w:rPr>
  </w:style>
  <w:style w:type="paragraph" w:customStyle="1" w:styleId="Pa4">
    <w:name w:val="Pa4"/>
    <w:basedOn w:val="Normale"/>
    <w:next w:val="Normale"/>
    <w:uiPriority w:val="99"/>
    <w:rsid w:val="00481457"/>
    <w:pPr>
      <w:autoSpaceDE w:val="0"/>
      <w:autoSpaceDN w:val="0"/>
      <w:adjustRightInd w:val="0"/>
      <w:spacing w:line="241" w:lineRule="atLeast"/>
    </w:pPr>
    <w:rPr>
      <w:rFonts w:ascii="Akkurat" w:eastAsia="Times New Roman" w:hAnsi="Akkurat" w:cs="Times New Roman"/>
    </w:rPr>
  </w:style>
  <w:style w:type="character" w:customStyle="1" w:styleId="A1">
    <w:name w:val="A1"/>
    <w:uiPriority w:val="99"/>
    <w:rsid w:val="00481457"/>
    <w:rPr>
      <w:rFonts w:ascii="Akkurat" w:hAnsi="Akkurat" w:cs="Akkurat" w:hint="default"/>
      <w:i/>
      <w:iCs/>
      <w:color w:val="000000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481457"/>
    <w:rPr>
      <w:rFonts w:ascii="Consolas" w:eastAsiaTheme="minorHAnsi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81457"/>
    <w:rPr>
      <w:rFonts w:ascii="Consolas" w:eastAsiaTheme="minorHAnsi" w:hAnsi="Consolas" w:cs="Consolas"/>
      <w:sz w:val="21"/>
      <w:szCs w:val="21"/>
    </w:rPr>
  </w:style>
  <w:style w:type="paragraph" w:customStyle="1" w:styleId="Pa11">
    <w:name w:val="Pa11"/>
    <w:basedOn w:val="Normale"/>
    <w:next w:val="Normale"/>
    <w:uiPriority w:val="99"/>
    <w:rsid w:val="00481457"/>
    <w:pPr>
      <w:autoSpaceDE w:val="0"/>
      <w:autoSpaceDN w:val="0"/>
      <w:adjustRightInd w:val="0"/>
      <w:spacing w:line="161" w:lineRule="atLeast"/>
    </w:pPr>
    <w:rPr>
      <w:rFonts w:ascii="Akkurat" w:eastAsia="Times New Roman" w:hAnsi="Akkurat" w:cs="Times New Roman"/>
    </w:rPr>
  </w:style>
  <w:style w:type="paragraph" w:styleId="Paragrafoelenco">
    <w:name w:val="List Paragraph"/>
    <w:basedOn w:val="Normale"/>
    <w:uiPriority w:val="34"/>
    <w:qFormat/>
    <w:rsid w:val="00481457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Pa8">
    <w:name w:val="Pa8"/>
    <w:basedOn w:val="Normale"/>
    <w:next w:val="Normale"/>
    <w:uiPriority w:val="99"/>
    <w:rsid w:val="00481457"/>
    <w:pPr>
      <w:autoSpaceDE w:val="0"/>
      <w:autoSpaceDN w:val="0"/>
      <w:adjustRightInd w:val="0"/>
      <w:spacing w:line="161" w:lineRule="atLeast"/>
    </w:pPr>
    <w:rPr>
      <w:rFonts w:ascii="Akkurat" w:eastAsia="Times New Roman" w:hAnsi="Akkurat" w:cs="Times New Roman"/>
    </w:rPr>
  </w:style>
  <w:style w:type="character" w:customStyle="1" w:styleId="A6">
    <w:name w:val="A6"/>
    <w:uiPriority w:val="99"/>
    <w:rsid w:val="00481457"/>
    <w:rPr>
      <w:rFonts w:ascii="Akkurat" w:hAnsi="Akkurat" w:cs="Akkurat" w:hint="default"/>
      <w:color w:val="000000"/>
      <w:sz w:val="9"/>
      <w:szCs w:val="9"/>
    </w:rPr>
  </w:style>
  <w:style w:type="paragraph" w:customStyle="1" w:styleId="Default">
    <w:name w:val="Default"/>
    <w:rsid w:val="00481457"/>
    <w:pPr>
      <w:autoSpaceDE w:val="0"/>
      <w:autoSpaceDN w:val="0"/>
      <w:adjustRightInd w:val="0"/>
    </w:pPr>
    <w:rPr>
      <w:rFonts w:ascii="Akkurat" w:eastAsia="Times New Roman" w:hAnsi="Akkurat" w:cs="Akkurat"/>
      <w:color w:val="000000"/>
      <w:sz w:val="24"/>
      <w:szCs w:val="24"/>
    </w:rPr>
  </w:style>
  <w:style w:type="character" w:customStyle="1" w:styleId="A3">
    <w:name w:val="A3"/>
    <w:uiPriority w:val="99"/>
    <w:rsid w:val="00481457"/>
    <w:rPr>
      <w:rFonts w:ascii="Akkurat" w:hAnsi="Akkurat" w:cs="Akkurat" w:hint="default"/>
      <w:i/>
      <w:iCs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confindustria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Annarosa DAcquarica</dc:creator>
  <cp:lastModifiedBy>MCarvisiglia</cp:lastModifiedBy>
  <cp:revision>2</cp:revision>
  <dcterms:created xsi:type="dcterms:W3CDTF">2016-01-15T09:01:00Z</dcterms:created>
  <dcterms:modified xsi:type="dcterms:W3CDTF">2016-01-15T09:01:00Z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Annarosa DAcquarica</vt:lpwstr>
  </property>
  <property fmtid="{D5CDD505-2E9C-101B-9397-08002B2CF9AE}" pid="3" name="AXPDataClassification">
    <vt:lpwstr>AXP Public</vt:lpwstr>
  </property>
  <property fmtid="{D5CDD505-2E9C-101B-9397-08002B2CF9AE}" pid="4" name="AXPDataClassificationForSearch">
    <vt:lpwstr>AXPPublic_UniqueSearchString</vt:lpwstr>
  </property>
</Properties>
</file>